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8" w:rsidRDefault="00CF1478" w:rsidP="00CF1478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Косарева Н.Б. </w:t>
      </w:r>
    </w:p>
    <w:p w:rsidR="00CF1478" w:rsidRDefault="00CF1478" w:rsidP="00CF1478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Полиди Т.Д. </w:t>
      </w:r>
    </w:p>
    <w:p w:rsidR="00CF1478" w:rsidRPr="00CF1478" w:rsidRDefault="00CF1478" w:rsidP="00CF1478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Пузанов А.С.</w:t>
      </w:r>
    </w:p>
    <w:p w:rsidR="00CF1478" w:rsidRPr="00CF1478" w:rsidRDefault="00CF1478" w:rsidP="00CF1478">
      <w:pPr>
        <w:spacing w:after="0" w:line="36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42" w:rsidRPr="00CF1478" w:rsidRDefault="00526442" w:rsidP="00CF1478">
      <w:pPr>
        <w:spacing w:after="0" w:line="36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ДРАЙВЕРЫ ЭКОНОМИЧЕСКОГО РОСТА:</w:t>
      </w:r>
    </w:p>
    <w:p w:rsidR="00526442" w:rsidRDefault="00526442" w:rsidP="00CF1478">
      <w:pPr>
        <w:spacing w:after="0" w:line="36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ПРИМЕРЕ РЫНКА ЖИЛЬЯ</w:t>
      </w:r>
    </w:p>
    <w:p w:rsidR="00CF1478" w:rsidRPr="00526442" w:rsidRDefault="00CF1478" w:rsidP="00CF1478">
      <w:pPr>
        <w:spacing w:after="0" w:line="360" w:lineRule="auto"/>
        <w:ind w:right="-6" w:firstLine="709"/>
        <w:jc w:val="center"/>
        <w:rPr>
          <w:rFonts w:ascii="Times New Roman" w:eastAsiaTheme="majorEastAsia" w:hAnsi="Times New Roman" w:cstheme="majorBidi"/>
          <w:b/>
          <w:bCs/>
          <w:smallCaps/>
          <w:spacing w:val="30"/>
          <w:sz w:val="28"/>
          <w:szCs w:val="26"/>
          <w:lang w:eastAsia="ru-RU"/>
        </w:rPr>
      </w:pPr>
    </w:p>
    <w:p w:rsidR="00526442" w:rsidRDefault="00C60F59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жилищная политика в 1991 – 2015 гг. позволила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="00526442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базовые институты рынка жилья</w:t>
      </w:r>
      <w:r w:rsidR="00526442" w:rsidRPr="00F3135D"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достичь значимых положительных результатов в жилищной сфере.</w:t>
      </w:r>
      <w:r w:rsid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ставка в этот период была сделана на формирование института собственности граждан на жилье и увеличение объемов жилищного строительства в целях повышения доступности приобретения жилья в собственность.</w:t>
      </w:r>
    </w:p>
    <w:p w:rsidR="00CF1478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реформ, в том числе бесплатной приватизации жилья, произошла</w:t>
      </w:r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радикальная </w:t>
      </w:r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трансформация структуры жилищного фонда по формам собственности и </w:t>
      </w:r>
      <w:r w:rsidR="00C60F59"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частной собственности граждан на жилье. С</w:t>
      </w:r>
      <w:r w:rsidR="00C60F59"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в России около </w:t>
      </w:r>
      <w:r w:rsidR="00FE418E"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жилищного фонда находится в собственности граждан, при этом </w:t>
      </w:r>
      <w:r w:rsidR="00C60F59"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75% жилищного фонда используется для проживания гражданами – собственниками жилья</w:t>
      </w:r>
      <w:r w:rsidRPr="00CF1478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Германии только 46%, во Франции – 57%, Нидерландах – 58%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2005 года б</w:t>
      </w:r>
      <w:r w:rsidRPr="007439B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ыстрыми темпами развивалась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ипотечного жилищного кредитования (количество выданных ипотечных кредитов составило в 2014 г. около 1 </w:t>
      </w:r>
      <w:proofErr w:type="gramStart"/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рынка ипотеки увеличился в </w:t>
      </w:r>
      <w:r w:rsidR="00026656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266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6656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 5% ВВП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Увеличились объемы жилищного строительства (рост в 2 раза в 2014 г. по сравнению с 2004 г.). Доля семей, имеющих возможность приобрести жилье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собственных и заемных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2004 г. в 3 раза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в 2014 г. </w:t>
      </w:r>
      <w:r w:rsidR="0002665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рис. 1)</w:t>
      </w:r>
      <w:r w:rsidRP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F9F" w:rsidRPr="007C0F9F" w:rsidRDefault="007C0F9F" w:rsidP="007C0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A2157" wp14:editId="668DC65E">
            <wp:extent cx="6152515" cy="3567430"/>
            <wp:effectExtent l="0" t="0" r="1968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D1F5F">
        <w:rPr>
          <w:rFonts w:ascii="Times New Roman" w:hAnsi="Times New Roman" w:cs="Times New Roman"/>
          <w:sz w:val="28"/>
          <w:szCs w:val="28"/>
        </w:rPr>
        <w:t xml:space="preserve"> </w:t>
      </w:r>
      <w:r w:rsidRPr="00A27012">
        <w:rPr>
          <w:rFonts w:ascii="Times New Roman" w:hAnsi="Times New Roman" w:cs="Times New Roman"/>
          <w:b/>
          <w:sz w:val="28"/>
          <w:szCs w:val="28"/>
        </w:rPr>
        <w:t xml:space="preserve">Рисунок 1 – </w:t>
      </w:r>
      <w:r w:rsidRPr="00AD1F5F">
        <w:rPr>
          <w:rFonts w:ascii="Times New Roman" w:hAnsi="Times New Roman" w:cs="Times New Roman"/>
          <w:b/>
          <w:sz w:val="28"/>
          <w:szCs w:val="28"/>
        </w:rPr>
        <w:t>Доля семей, имеющих возможность приобрести жилье, соответствующее стандартам обеспечения жильем, с помощью собственных и заемных средств</w:t>
      </w:r>
      <w:proofErr w:type="gramStart"/>
      <w:r w:rsidRPr="00AD1F5F">
        <w:rPr>
          <w:rFonts w:ascii="Times New Roman" w:hAnsi="Times New Roman" w:cs="Times New Roman"/>
          <w:b/>
          <w:sz w:val="28"/>
          <w:szCs w:val="28"/>
        </w:rPr>
        <w:t xml:space="preserve"> (%)</w:t>
      </w:r>
      <w:r>
        <w:rPr>
          <w:rStyle w:val="a7"/>
          <w:rFonts w:ascii="Times New Roman" w:hAnsi="Times New Roman" w:cs="Times New Roman"/>
          <w:b/>
          <w:sz w:val="24"/>
          <w:szCs w:val="28"/>
        </w:rPr>
        <w:footnoteReference w:id="2"/>
      </w:r>
      <w:proofErr w:type="gramEnd"/>
    </w:p>
    <w:p w:rsidR="007C0F9F" w:rsidRDefault="007C0F9F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42" w:rsidRPr="00C60F59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наращивания частной собственности граждан на жилье была вполне оправданной на этапе перехода к рыночной экономике, однако имела и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P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последствия. Многие проблемы, унаследованные от предыдущего периода, остались не до конца решенными, а сформировавшиеся жилищные рынки характеризуются многочисленными изъянами. Сегодня, в условиях сложной макроэкономической ситуации, самое время подумать над решением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и исправлением изъянов рынка. </w:t>
      </w:r>
    </w:p>
    <w:p w:rsidR="00526442" w:rsidRPr="00526442" w:rsidRDefault="00526442" w:rsidP="00F3135D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Низкая доступность приобретения жилья в собственность как результат низкой конкуренции на рынке жилищного строительства</w:t>
      </w:r>
    </w:p>
    <w:p w:rsidR="00526442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большой неудовлетворенной потребности в жилье почти три четверти домохозяйств не имеют возможности приобрести жилье в собственность при существующих ценах и доходах. </w:t>
      </w:r>
    </w:p>
    <w:p w:rsidR="00F54316" w:rsidRDefault="00F54316" w:rsidP="00F5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AB327" wp14:editId="5047BC61">
            <wp:extent cx="5939790" cy="3387072"/>
            <wp:effectExtent l="0" t="0" r="2286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7012" w:rsidRDefault="00F54316" w:rsidP="00A270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12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7C0F9F">
        <w:rPr>
          <w:rFonts w:ascii="Times New Roman" w:hAnsi="Times New Roman" w:cs="Times New Roman"/>
          <w:b/>
          <w:sz w:val="28"/>
          <w:szCs w:val="28"/>
        </w:rPr>
        <w:t>2</w:t>
      </w:r>
      <w:r w:rsidRPr="00A27012">
        <w:rPr>
          <w:rFonts w:ascii="Times New Roman" w:hAnsi="Times New Roman" w:cs="Times New Roman"/>
          <w:b/>
          <w:sz w:val="28"/>
          <w:szCs w:val="28"/>
        </w:rPr>
        <w:t xml:space="preserve"> – Коэффициент доступности жилья, лет </w:t>
      </w:r>
    </w:p>
    <w:p w:rsidR="00F54316" w:rsidRPr="00A27012" w:rsidRDefault="00F54316" w:rsidP="00A270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7012">
        <w:rPr>
          <w:rFonts w:ascii="Times New Roman" w:hAnsi="Times New Roman" w:cs="Times New Roman"/>
          <w:b/>
          <w:sz w:val="24"/>
          <w:szCs w:val="28"/>
        </w:rPr>
        <w:t>(отношение стоимости квартиры площадью 54 кв. м по средней цене 1 кв. м по Российской Федерации на первичном и вторичном рынке жилья и среднего годового дохода семьи из 3 человек)</w:t>
      </w:r>
      <w:r w:rsidR="00FF1208">
        <w:rPr>
          <w:rStyle w:val="a7"/>
          <w:rFonts w:ascii="Times New Roman" w:hAnsi="Times New Roman" w:cs="Times New Roman"/>
          <w:b/>
          <w:sz w:val="24"/>
          <w:szCs w:val="28"/>
        </w:rPr>
        <w:footnoteReference w:id="3"/>
      </w:r>
    </w:p>
    <w:p w:rsidR="00AD1F5F" w:rsidRDefault="00AD1F5F" w:rsidP="00AD1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78" w:rsidRDefault="00526442" w:rsidP="007C0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59">
        <w:rPr>
          <w:rFonts w:ascii="Times New Roman" w:hAnsi="Times New Roman" w:cs="Times New Roman"/>
          <w:sz w:val="28"/>
          <w:szCs w:val="28"/>
        </w:rPr>
        <w:t xml:space="preserve">Ценовые тенденции на рынке жилья развиваются в тесной связи с динамикой доходов населения – основных инвесторов и потребителей жилья. В период экономического роста 2000–2007 гг. реальные цены на жилье росли в среднем на 7% в год, как и экономика в целом. </w:t>
      </w:r>
      <w:r w:rsidR="00CF1478" w:rsidRPr="00C60F59">
        <w:rPr>
          <w:rFonts w:ascii="Times New Roman" w:hAnsi="Times New Roman" w:cs="Times New Roman"/>
          <w:sz w:val="28"/>
          <w:szCs w:val="28"/>
        </w:rPr>
        <w:t xml:space="preserve">Рост реальных цен на жилье был вызван, главным образом, дисбалансом спроса и предложения и не связан с улучшением качественных характеристик жилья. </w:t>
      </w:r>
      <w:r w:rsidRPr="00C60F59">
        <w:rPr>
          <w:rFonts w:ascii="Times New Roman" w:hAnsi="Times New Roman" w:cs="Times New Roman"/>
          <w:sz w:val="28"/>
          <w:szCs w:val="28"/>
        </w:rPr>
        <w:t>Далее значительно более умеренные темпы роста ВВП (2–3% в год) обуслови</w:t>
      </w:r>
      <w:r w:rsidR="00CF1478">
        <w:rPr>
          <w:rFonts w:ascii="Times New Roman" w:hAnsi="Times New Roman" w:cs="Times New Roman"/>
          <w:sz w:val="28"/>
          <w:szCs w:val="28"/>
        </w:rPr>
        <w:t xml:space="preserve">ли и стабилизацию </w:t>
      </w:r>
      <w:r w:rsidR="00CF1478" w:rsidRPr="00FF1208">
        <w:rPr>
          <w:rFonts w:ascii="Times New Roman" w:hAnsi="Times New Roman" w:cs="Times New Roman"/>
          <w:sz w:val="28"/>
          <w:szCs w:val="28"/>
        </w:rPr>
        <w:t>цен на жилье, а в последнее время (</w:t>
      </w:r>
      <w:r w:rsidR="00FF1208" w:rsidRPr="00FF1208">
        <w:rPr>
          <w:rFonts w:ascii="Times New Roman" w:hAnsi="Times New Roman" w:cs="Times New Roman"/>
          <w:sz w:val="28"/>
          <w:szCs w:val="28"/>
        </w:rPr>
        <w:t>201</w:t>
      </w:r>
      <w:r w:rsidR="00FF1208">
        <w:rPr>
          <w:rFonts w:ascii="Times New Roman" w:hAnsi="Times New Roman" w:cs="Times New Roman"/>
          <w:sz w:val="28"/>
          <w:szCs w:val="28"/>
        </w:rPr>
        <w:t>4</w:t>
      </w:r>
      <w:r w:rsidR="00FF1208" w:rsidRPr="00FF1208">
        <w:rPr>
          <w:rFonts w:ascii="Times New Roman" w:hAnsi="Times New Roman" w:cs="Times New Roman"/>
          <w:sz w:val="28"/>
          <w:szCs w:val="28"/>
        </w:rPr>
        <w:t>-</w:t>
      </w:r>
      <w:r w:rsidR="00CF1478" w:rsidRPr="00FF1208">
        <w:rPr>
          <w:rFonts w:ascii="Times New Roman" w:hAnsi="Times New Roman" w:cs="Times New Roman"/>
          <w:sz w:val="28"/>
          <w:szCs w:val="28"/>
        </w:rPr>
        <w:t>2015</w:t>
      </w:r>
      <w:r w:rsidR="00FF1208" w:rsidRPr="00FF1208">
        <w:rPr>
          <w:rFonts w:ascii="Times New Roman" w:hAnsi="Times New Roman" w:cs="Times New Roman"/>
          <w:sz w:val="28"/>
          <w:szCs w:val="28"/>
        </w:rPr>
        <w:t xml:space="preserve"> гг.</w:t>
      </w:r>
      <w:r w:rsidR="00CF1478" w:rsidRPr="00FF1208">
        <w:rPr>
          <w:rFonts w:ascii="Times New Roman" w:hAnsi="Times New Roman" w:cs="Times New Roman"/>
          <w:sz w:val="28"/>
          <w:szCs w:val="28"/>
        </w:rPr>
        <w:t xml:space="preserve">) в условиях снижения реальных доходов населения </w:t>
      </w:r>
      <w:r w:rsidR="00FF1208" w:rsidRPr="00FF1208">
        <w:rPr>
          <w:rFonts w:ascii="Times New Roman" w:hAnsi="Times New Roman" w:cs="Times New Roman"/>
          <w:sz w:val="28"/>
          <w:szCs w:val="28"/>
        </w:rPr>
        <w:t xml:space="preserve">реальные </w:t>
      </w:r>
      <w:r w:rsidR="00CF1478" w:rsidRPr="00FF1208">
        <w:rPr>
          <w:rFonts w:ascii="Times New Roman" w:hAnsi="Times New Roman" w:cs="Times New Roman"/>
          <w:sz w:val="28"/>
          <w:szCs w:val="28"/>
        </w:rPr>
        <w:t>цены на жилье</w:t>
      </w:r>
      <w:r w:rsidR="00FF1208" w:rsidRPr="00FF1208">
        <w:rPr>
          <w:rFonts w:ascii="Times New Roman" w:hAnsi="Times New Roman" w:cs="Times New Roman"/>
          <w:sz w:val="28"/>
          <w:szCs w:val="28"/>
        </w:rPr>
        <w:t xml:space="preserve"> начали снижаться.</w:t>
      </w:r>
    </w:p>
    <w:p w:rsidR="007A2718" w:rsidRDefault="007A2718" w:rsidP="00526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ынок </w:t>
      </w:r>
      <w:r w:rsid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индустриального 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 отличает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ценовая эластичность предложения и слабая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конкуренция, </w:t>
      </w:r>
      <w:r w:rsidR="007C0F9F"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отвечающее современным требованиям низкое </w:t>
      </w:r>
      <w:r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возводимого жилья, дефицит стандартного рыночного кредитования строительства, котор</w:t>
      </w:r>
      <w:r w:rsidR="007C0F9F"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замещается прямыми инвестициями граждан</w:t>
      </w:r>
      <w:r w:rsidR="007C0F9F"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C0F9F"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итоге, за счет привлекаемых средств граждан на жилищное строительство покрываются не только расходы на жилищное строительство, но и расходы застройщиков на обеспечение социальной и коммунальной инфраструктурой, на </w:t>
      </w:r>
      <w:r w:rsidR="007C0F9F" w:rsidRPr="00700C77">
        <w:rPr>
          <w:rFonts w:ascii="Times New Roman" w:hAnsi="Times New Roman" w:cs="Times New Roman"/>
          <w:sz w:val="28"/>
          <w:szCs w:val="28"/>
        </w:rPr>
        <w:t xml:space="preserve">преодоление высоких административных барьеров, в том числе в части взаимодействия с </w:t>
      </w:r>
      <w:proofErr w:type="spellStart"/>
      <w:r w:rsidR="007C0F9F" w:rsidRPr="00700C7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7C0F9F" w:rsidRPr="00700C77">
        <w:rPr>
          <w:rFonts w:ascii="Times New Roman" w:hAnsi="Times New Roman" w:cs="Times New Roman"/>
          <w:sz w:val="28"/>
          <w:szCs w:val="28"/>
        </w:rPr>
        <w:t xml:space="preserve"> организациями, различные неформальные платежи, а также экономически слабо обоснованная прибыль застройщиков</w:t>
      </w:r>
      <w:r w:rsidR="007C0F9F"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70B"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 w:rsidR="005F470B"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2)</w:t>
      </w:r>
      <w:r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C0F9F" w:rsidRDefault="007C0F9F" w:rsidP="00526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18" w:rsidRDefault="007A2718" w:rsidP="007A2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F">
        <w:rPr>
          <w:rFonts w:ascii="Calibri" w:eastAsia="Calibri" w:hAnsi="Calibri"/>
          <w:noProof/>
          <w:lang w:eastAsia="ru-RU"/>
        </w:rPr>
        <w:drawing>
          <wp:inline distT="0" distB="0" distL="0" distR="0" wp14:anchorId="2F47C05C" wp14:editId="6EAB655B">
            <wp:extent cx="5939790" cy="3283666"/>
            <wp:effectExtent l="0" t="0" r="22860" b="12065"/>
            <wp:docPr id="2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2718" w:rsidRPr="007A2718" w:rsidRDefault="007A2718" w:rsidP="007A27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718">
        <w:rPr>
          <w:rFonts w:ascii="Times New Roman" w:eastAsia="Calibri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A2718">
        <w:rPr>
          <w:rFonts w:ascii="Times New Roman" w:eastAsia="Calibri" w:hAnsi="Times New Roman" w:cs="Times New Roman"/>
          <w:b/>
          <w:sz w:val="28"/>
          <w:szCs w:val="28"/>
        </w:rPr>
        <w:t xml:space="preserve"> – Конечные расходы граждан на приобретение жилья и  расходы на строительство жилья в 2000–2012 гг.</w:t>
      </w:r>
      <w:r w:rsidR="005F470B">
        <w:rPr>
          <w:rStyle w:val="a7"/>
          <w:rFonts w:ascii="Times New Roman" w:eastAsia="Calibri" w:hAnsi="Times New Roman" w:cs="Times New Roman"/>
          <w:b/>
          <w:sz w:val="28"/>
          <w:szCs w:val="28"/>
        </w:rPr>
        <w:footnoteReference w:id="4"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0F9F" w:rsidRDefault="007C0F9F" w:rsidP="00526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442" w:rsidRPr="00C60F59" w:rsidRDefault="00526442" w:rsidP="00526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таком рынке </w:t>
      </w:r>
      <w:r w:rsidRPr="00C60F59">
        <w:rPr>
          <w:rFonts w:ascii="Times New Roman" w:hAnsi="Times New Roman" w:cs="Times New Roman"/>
          <w:sz w:val="28"/>
          <w:szCs w:val="28"/>
        </w:rPr>
        <w:t xml:space="preserve">застройщики имеют возможность диктовать высокие цены на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C60F59">
        <w:rPr>
          <w:rFonts w:ascii="Times New Roman" w:hAnsi="Times New Roman" w:cs="Times New Roman"/>
          <w:sz w:val="28"/>
          <w:szCs w:val="28"/>
        </w:rPr>
        <w:t xml:space="preserve"> продукцию и выбирают стратегию максимизации нормы прибыли при низком объеме</w:t>
      </w:r>
      <w:r w:rsidR="007C0F9F">
        <w:rPr>
          <w:rFonts w:ascii="Times New Roman" w:hAnsi="Times New Roman" w:cs="Times New Roman"/>
          <w:sz w:val="28"/>
          <w:szCs w:val="28"/>
        </w:rPr>
        <w:t xml:space="preserve"> и качестве </w:t>
      </w:r>
      <w:r w:rsidRPr="00C60F59">
        <w:rPr>
          <w:rFonts w:ascii="Times New Roman" w:hAnsi="Times New Roman" w:cs="Times New Roman"/>
          <w:sz w:val="28"/>
          <w:szCs w:val="28"/>
        </w:rPr>
        <w:t xml:space="preserve">жилищного строительства. </w:t>
      </w:r>
    </w:p>
    <w:p w:rsidR="00526442" w:rsidRPr="00C60F59" w:rsidRDefault="00526442" w:rsidP="00526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hAnsi="Times New Roman" w:cs="Times New Roman"/>
          <w:sz w:val="28"/>
          <w:szCs w:val="28"/>
        </w:rPr>
        <w:t>Существенный фактор низкой конкуренции в жилищном строительстве – сложность подключения к коммунальной инфраструктуре. Поскольку сфера установления тарифов регулируется государством, и такие тарифы ограничиваются административн</w:t>
      </w:r>
      <w:r w:rsidR="00CF1478">
        <w:rPr>
          <w:rFonts w:ascii="Times New Roman" w:hAnsi="Times New Roman" w:cs="Times New Roman"/>
          <w:sz w:val="28"/>
          <w:szCs w:val="28"/>
        </w:rPr>
        <w:t>ыми</w:t>
      </w:r>
      <w:r w:rsidRPr="00C60F59">
        <w:rPr>
          <w:rFonts w:ascii="Times New Roman" w:hAnsi="Times New Roman" w:cs="Times New Roman"/>
          <w:sz w:val="28"/>
          <w:szCs w:val="28"/>
        </w:rPr>
        <w:t xml:space="preserve"> решениями с целью сдержать рост платежей населения за коммунальные услуги, </w:t>
      </w:r>
      <w:proofErr w:type="spellStart"/>
      <w:r w:rsidRPr="00C60F59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C60F59">
        <w:rPr>
          <w:rFonts w:ascii="Times New Roman" w:hAnsi="Times New Roman" w:cs="Times New Roman"/>
          <w:sz w:val="28"/>
          <w:szCs w:val="28"/>
        </w:rPr>
        <w:t xml:space="preserve"> организации не могут планировать инвестиционный процесс и привлекать заемное финансирование на создание инфраструктуры в соответствии с потребностями нового жилищного строительства. В результате в практике жилищного строительства финансирование таких затрат осуществляется за счет застройщика, который включает свои затраты в цену жилья, а вопросы присоединения к коммунальной инфраструктуре в основном решаются путем неформальных переговоров между застройщиком и коммунальной организацией. </w:t>
      </w:r>
    </w:p>
    <w:p w:rsidR="00C60F59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</w:t>
      </w:r>
      <w:proofErr w:type="spellStart"/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градорегулирования</w:t>
      </w:r>
      <w:proofErr w:type="spellEnd"/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являющаяся основой для развития жилищного строительства, пока не обеспечивает формирования ни комфортной среды проживания и жизнедеятельности, ни прозрачной правовой системы для инвесторов и застройщиков. Городская среда и планировка территории российских городов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сохраняют </w:t>
      </w:r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советский вид и отпечаток административного градостроительства. Это проявляется в дефиците общественных пространств, малого розничного бизнеса на городских улицах, перепаде плотности застройки между центром и окраинами в результате приоритетного освоения новых территорий, влекущем многочасовые пробки на дорогах и создающем риски деградации жилой среды и коммунальной инфраструктуры в центральных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срединных </w:t>
      </w:r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42" w:rsidRDefault="00526442" w:rsidP="00526442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учитывать, что к настоящему времени проявились экономические ограничения «расползания» городов в формате комплексного освоения их окраинных территорий (рыночные цены на жилье уже не могут окупить столь высокие затраты на строительство новой инженерной, транспортной и социальной инфраструктуры). Застройщики впервые столкнулись с проблемой ограниченности спроса на производимый ими жилищный продукт. </w:t>
      </w:r>
    </w:p>
    <w:p w:rsidR="00526442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Неудовлетворенность потребителей предлагаемым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продуктом проявляется в массовом «уходе» в индивидуальное жилищное строительство, которое рассматривается как товар-заменитель. </w:t>
      </w:r>
      <w:r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Индустриальный строительный сектор в последние годы производит порядка 40</w:t>
      </w:r>
      <w:r w:rsidR="00CF1478"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-50</w:t>
      </w:r>
      <w:r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P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 жилья в год. Граждане – индивидуальные застройщики – строят почти такой же объем жилья, как и индустриальный строительный сектор (в 2014 г. – около </w:t>
      </w:r>
      <w:r w:rsidR="00C019A0" w:rsidRP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019A0" w:rsidRP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proofErr w:type="gramStart"/>
      <w:r w:rsidRP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соответственно). Такие пропорции наблюдались в России в советское время только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1958 г. 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 индустриального жилищного строит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ельства. </w:t>
      </w:r>
    </w:p>
    <w:p w:rsidR="00CF1478" w:rsidRPr="00504525" w:rsidRDefault="00C019A0" w:rsidP="00CF1478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реакции на неудовлетворенность потребителей на рынке жилищного строительства стало быстрое неконтролируемое</w:t>
      </w:r>
      <w:r w:rsidR="00CF1478" w:rsidRPr="0050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нового</w:t>
      </w:r>
      <w:r w:rsidR="00CF1478" w:rsidRPr="0050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крупнейших и крупных городах –</w:t>
      </w:r>
      <w:r w:rsidR="00CF1478" w:rsidRPr="0050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нежилых зданий с «апартаментами», которые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приобретаются гражданами по более низким ценам, чем квартиры, вопреки многим ограничениям (невозможность регистрации по месту жительства, необеспеченность социальной инфраструктурой, более высокие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коммунальные услуги и др.)</w:t>
      </w:r>
      <w:r w:rsidR="00CF1478" w:rsidRPr="00504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новое предложение и спрос - реакция рынка на слишком узкие требования к возможным формам застройки в условиях слабых градостроительной политики и </w:t>
      </w:r>
      <w:proofErr w:type="gramStart"/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реализацией.</w:t>
      </w:r>
    </w:p>
    <w:p w:rsidR="00526442" w:rsidRPr="00C60F59" w:rsidRDefault="00526442" w:rsidP="00526442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Сегодняшние макроэкономические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(высокая инфляция и стоимость денег, снижение доходов населения, снижение доходов бюджетов)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риски для сохранения в ближайшее время сложившейся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позитивной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 ипотечного жилищного кредитования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г. количество выданных ипотечных кредитов сократилось до 692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Есть основания полагать, что нынешний экономический спад будет иметь более долгосрочные последствия для ипотечного жилищного кредитования по сравнению с финансовым кризисом 2008-2009 гг.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объем выданных ипотечных кредитов сократился в 4,3 раза по сравнению с 2008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уже к 2010 г. объемы кредитования восстановились.</w:t>
      </w:r>
    </w:p>
    <w:p w:rsidR="00526442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все более очевидным, что в обозримой перспективе приобретение жилья в собственность с помощью ипотечного кредита не будет доступно для большинства домохозяйств. При этом для таких групп населения нет иных 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 доступных вариантов улучшения жилищных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повышение доступности приобретения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искусственного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ипотечных кредитов – слишком рискованная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 кризис на рынке ипотеки в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442" w:rsidRPr="00526442" w:rsidRDefault="00526442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6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Отсутствие различных форм удовлетворения жилищной потребности</w:t>
      </w:r>
    </w:p>
    <w:p w:rsidR="00526442" w:rsidRDefault="00FE418E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ысокие цены на рынке жилья и </w:t>
      </w:r>
      <w:r w:rsidR="00526442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доходы населения не являются единственным препятствием для решения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26442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проблемы. В стране не развиты многие институты, которые могли бы позволить гражданам улучшать жилищные условия. Жилищные потребности порядка 40% всех семей, которые не являются малоимущими, но им не доступно приобретение жилья в собственность, уже сегодня можно было бы удовлетворить за счет участия в жилищно-строительной кооперации, легального и защищенного найма жилья на рыночных или некоммерческих условиях, если бы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существовала. Такие различные возможности создания и использования жилищного фонда характерны для стран с развитыми рынками жилья.</w:t>
      </w:r>
    </w:p>
    <w:p w:rsidR="00526442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государством исключительно приобретения жилья в собственность привела к тому, что 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преобладающая часть  бюджетных расходов на поддержку спроса на рынке жилья направляется на поддержку приобретения жилья в собственность граждан (предоставление субсидий на приобретение жилья, использование материнского (семейного) капитала на приобретение жилья,  финансирование </w:t>
      </w:r>
      <w:proofErr w:type="spellStart"/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>-ипотечной системы жилищного обеспечения военнослужащих). Иные формы обеспечения граждан жильем пока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поддерживаются государством. В результате </w:t>
      </w:r>
      <w:r w:rsidRP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отличается достаточно узким набором используемых инструментов жилищной политики, направленных на повышение жилищной обеспеченности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42" w:rsidRPr="00526442" w:rsidRDefault="00526442" w:rsidP="00526442">
      <w:pPr>
        <w:spacing w:after="0" w:line="360" w:lineRule="auto"/>
        <w:ind w:left="720" w:right="-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6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Снижение качества существующего жилищного фонда</w:t>
      </w:r>
    </w:p>
    <w:p w:rsidR="00526442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вторичного рынка жилья в большей степени сдерживается ухудшением состояния жилищного фонда.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некомпенсируемое ветшание жилищного фонда приводит к дополнительной потребности переезда в другое жилье.</w:t>
      </w:r>
    </w:p>
    <w:p w:rsidR="00526442" w:rsidRPr="00C60F59" w:rsidRDefault="00526442" w:rsidP="00526442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в жилищной сфере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объема жилищных активов (в первую очередь – это жилищное строительство, предусматривающее освоение новых, ранее не застроенных территорий), а не на обеспечение необходимого состояния их качественных характеристик. Тем самым была не только продолжена, но и усугублена ранее сложившаяся тенденция: темпы увеличения жилищного фонда, начиная с 1955 г., постоянно опережали темпы увеличения объема инвестиций в его восстановление.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 </w:t>
      </w:r>
      <w:r w:rsidR="00C0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увеличивающийся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накопленный д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восстановительных инвестиций в жилищную сферу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капитальный ремонт, а также строительство жилья взамен снесенного жилищного фонда при </w:t>
      </w:r>
      <w:proofErr w:type="spellStart"/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редевелопменте</w:t>
      </w:r>
      <w:proofErr w:type="spellEnd"/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деградирующих территорий) </w:t>
      </w:r>
      <w:r w:rsidR="00C0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к 2012 году 23,2 </w:t>
      </w:r>
      <w:proofErr w:type="gramStart"/>
      <w:r w:rsidR="00C019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gramEnd"/>
      <w:r w:rsidR="00C019A0" w:rsidRPr="00C0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 37% ВВП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 к ухудшению структуры жилищного фонда и коммунальной инфраструктуры по уровню невозмещенного износа.</w:t>
      </w:r>
    </w:p>
    <w:p w:rsidR="00526442" w:rsidRPr="00C60F59" w:rsidRDefault="00526442" w:rsidP="005264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п</w:t>
      </w:r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о оценкам, в 73 российских городах с населением более 250 тыс. человек потенциальный объем жилищного строительства в рамках проектов развития застроенных территорий составляет 262 </w:t>
      </w:r>
      <w:proofErr w:type="gramStart"/>
      <w:r w:rsidRPr="00C60F5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</w:p>
    <w:p w:rsidR="00526442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ж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илищный фонд, переданный в собственность граждан, так и не стал предметом их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сформирован конкурентный  рынок управления многоквартирными домами, который</w:t>
      </w:r>
      <w:r w:rsidRPr="00C60F59"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обеспечивал бы качественное текущее потребление жилищных и коммунальных услуг, своевременное проведение капитального ремонта общего имущества  в многоквартирных домах. </w:t>
      </w:r>
      <w:r w:rsidR="00D9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отсутствия инвестиционной активности собственников жилья ф</w:t>
      </w:r>
      <w:r w:rsidR="00D9240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институты </w:t>
      </w:r>
      <w:r w:rsidR="00D9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D9240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стремятся развивать свой бизнес в сфере управления жилищным фондом, в частности, кредитования капитального ремонта многоквартирных домов.</w:t>
      </w:r>
    </w:p>
    <w:p w:rsidR="00526442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состояние жилищного фонда продолжает ухудшаться – ежегодный дополнительный износ жилищного фонда в </w:t>
      </w:r>
      <w:r w:rsidR="00D924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240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D9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инвестиции в его восстановление, официальные показатели объема ветхого и аварийного жилищного фонда не отражают реальное состояние дел. </w:t>
      </w:r>
    </w:p>
    <w:p w:rsidR="00526442" w:rsidRPr="00526442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6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Предложения по новым приоритетам государственной жилищной </w:t>
      </w:r>
      <w:proofErr w:type="gramStart"/>
      <w:r w:rsidRPr="00526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политики на</w:t>
      </w:r>
      <w:proofErr w:type="gramEnd"/>
      <w:r w:rsidRPr="00526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среднесрочную перспективу</w:t>
      </w:r>
    </w:p>
    <w:p w:rsidR="00526442" w:rsidRDefault="00526442" w:rsidP="00526442">
      <w:pPr>
        <w:spacing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описанные проблемы в той или иной мере уже осознаны, но вряд ли могут быть полностью решены в ближайшее время. Однако принятие принципиальных решений по изменению направлений жилищной политики могут позволить начать реализацию мероприятий по использованию экономического потенциала роста в жилищном секторе.</w:t>
      </w:r>
    </w:p>
    <w:p w:rsidR="00526442" w:rsidRDefault="00526442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обсуждение предлагаются следующие 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государственной жилищной </w:t>
      </w:r>
      <w:proofErr w:type="gramStart"/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3135D"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среднесрочную перспективу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F59" w:rsidRPr="00C60F59" w:rsidRDefault="00C60F59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тимулирование </w:t>
      </w:r>
      <w:r w:rsidR="00526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дополнительного </w:t>
      </w:r>
      <w:r w:rsid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внутреннего спроса</w:t>
      </w:r>
      <w:r w:rsidR="00526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рынке жилья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442" w:rsidRDefault="00526442" w:rsidP="00526442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потенциального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в жилищном строительстве являются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акопленные сбережения граждан. Следует также учитывать, что в условиях экономического спада возрастает склонность населения к сбережению. П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Банка России на 01.</w:t>
      </w:r>
      <w:r w:rsidR="00D92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2409"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409"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4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сбережения на депозитах в банках составляли </w:t>
      </w:r>
      <w:r w:rsidR="00D92409"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4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</w:t>
      </w:r>
      <w:proofErr w:type="gramStart"/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gramEnd"/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F1478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F59" w:rsidRPr="00C60F59" w:rsidRDefault="00C60F59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решить задачу трансформации части накопленных сбережений граждан в инвестиции в жилищное строительство. Существуют два канала – потребительский спрос граждан (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проживания) и инвестиционный спрос граждан (вложение сре</w:t>
      </w:r>
      <w:proofErr w:type="gramStart"/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получения дохода по финансовому инструменту). </w:t>
      </w:r>
    </w:p>
    <w:p w:rsidR="00C60F59" w:rsidRPr="00C60F59" w:rsidRDefault="00F3135D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мобилизации потенциального внутреннего спроса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проблемы</w:t>
      </w:r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ожидания дальнейшего снижения цен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формирует отложенный спрос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найти механизмы консолидации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сбережений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преобладающая часть которых недостаточна для самостоятельного выхода на рынок.</w:t>
      </w:r>
      <w:r w:rsidR="00C60F59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442" w:rsidRPr="00526442" w:rsidRDefault="00526442" w:rsidP="00526442">
      <w:pPr>
        <w:pStyle w:val="af0"/>
        <w:numPr>
          <w:ilvl w:val="1"/>
          <w:numId w:val="6"/>
        </w:num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6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Стимулирование потребительского спроса на жилье</w:t>
      </w:r>
    </w:p>
    <w:p w:rsidR="00526442" w:rsidRPr="00526442" w:rsidRDefault="00F3135D" w:rsidP="00526442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приоритетом поддержки потребительского спроса должна стать </w:t>
      </w:r>
      <w:r w:rsidRP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стимулирование</w:t>
      </w:r>
      <w:r w:rsidRP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различных форм некоммерческого жилищного фонда</w:t>
      </w:r>
      <w:r w:rsidR="00C60F59" w:rsidRP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442">
        <w:t xml:space="preserve">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идея некоммерческого жилищного строительства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противовес коммерческой застройке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 создании доступного жилищного фонда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извлечения прибыли из процесса строительства и эксплуатации такого фонда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фонд может создаваться в рамках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жилищно-строительной кооперации непосредственно граждан или деятельности некоммерческих организаций по строительству наемных домов социального использования и предоставлению жилья внаем на некоммерческих условиях. </w:t>
      </w:r>
    </w:p>
    <w:p w:rsidR="007439BD" w:rsidRDefault="007439BD" w:rsidP="007439B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приоритета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среднесрочной перспективе определяется тем, что решение отмеченных институциональных проблем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ынка жилищного строительства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застройщиков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определяющих «завышенные» цены на рынке, требует длительного времени.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развитие некоммерческого жилищного строительства (по аналогии с индивидуальным жилищным строительством) может не только сформировать новый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сегмент, но и создать конкуренцию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продукту профессиональных застройщиков, что заставит трансформировать рынок такой застройки.</w:t>
      </w:r>
    </w:p>
    <w:p w:rsidR="00CF1478" w:rsidRDefault="00526442" w:rsidP="00526442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Жилищно-строительные</w:t>
      </w:r>
      <w:r w:rsidRPr="00C60F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кооператив</w:t>
      </w:r>
      <w:r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схема, при которой граждане-члены ЖСК коллективно инвестируют в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выполняют функцию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застройщика, а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прибыль профессионального застройщика, но и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невыполнения застройщиком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перед участниками долевого строительства. Исключение коммерческой прибыли застройщика позволит снизить стоимость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442" w:rsidRPr="00526442" w:rsidRDefault="00526442" w:rsidP="00526442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данной формы требует совершенствования законодательного регулирования в целях снятия ограничений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гражданином ипотечного кредита в виду отсутствия залога (пай в соответствии с Гражданским кодексом Р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предметом залога).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необходимо изменение условий предоставления ЖСК земельных участков Фондом «РЖС». Сегодня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предоставляются на условиях безвозмездного срочного пользования, то есть не могут быть предметом залога по кредитам ЖСК на строительство дома.</w:t>
      </w:r>
    </w:p>
    <w:p w:rsidR="00526442" w:rsidRPr="00C60F59" w:rsidRDefault="00526442" w:rsidP="00526442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0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остаются неурегулированными вопросы жилищно-строительной кооперации, а также иные формы некоммерческих объединений граждан при малоэтажной жилой застройке (коттеджной и (или)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омами блокированной застройки).</w:t>
      </w:r>
      <w:r w:rsidRPr="0050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0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5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совершенствования законодательного регулирования.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hAnsi="Times New Roman" w:cs="Times New Roman"/>
          <w:sz w:val="28"/>
          <w:szCs w:val="28"/>
        </w:rPr>
        <w:t>Ак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туальность </w:t>
      </w:r>
      <w:proofErr w:type="gramStart"/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увеличения </w:t>
      </w:r>
      <w:r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объемов строительства доступного наемного жилья</w:t>
      </w:r>
      <w:proofErr w:type="gramEnd"/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снижения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населения и высоких процентных ставок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ипотечным кредитам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многих категорий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наем жилого помещения на длительный срок по доступной плате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реальным способом улучшения жилищных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обозримой перспективе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повышение жилищной мобильности в целях поддержания трудовой миграционной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 населения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сдерживаемо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на рынке предложения комфортных условий временного, а иногда и долгосрочного, проживания на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найма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актуально в период экономического спада.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увеличения объемов строительства доступного наемного жилья</w:t>
      </w:r>
      <w:proofErr w:type="gramEnd"/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при условии мобилизации ресурсов всех заинтересованных сторон, в первую очередь:</w:t>
      </w:r>
    </w:p>
    <w:p w:rsid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государственной власти и местного </w:t>
      </w:r>
      <w:proofErr w:type="gramStart"/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крупнейших и крупных российские городов (Москва, Санкт-Петербург, столицы субъектов Российской Федерации, другие города с высоким миграционным оборотом) – центров деловой активности и экономического роста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 и муниципалитетов, нуждающихся в ликвидации аварийного жилищного фонда, признанного таковым после 1 января 2012 г.;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заинтересованных в привлечении для работы в сельской местности врачей, учителей и иных работников бюджетной сферы;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имеющих обязательства перед гражданами, признанными нуждающимися в предоставлении жилых помещений по договору социального найма;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компаний, реализующих крупные инвестиционные проекты, в том числе на территориях опережающего социально-экономического развития. Недостаточный уровень развития наемного жилищного фонда снижает мобильность трудовых ресурсов и может стать сдерживающим фактором реализации таких инвестиционных проектов.</w:t>
      </w:r>
    </w:p>
    <w:p w:rsidR="00C60F59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развитие сегмента доступного наемного жилья для решения указанных проблем также требует поддержки и с федерального уровня, в том числе в рамках деятельности государственных институтов развития – единого института развития в жилищной сфере, созда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АО «АИЖК» и Фонда «РЖС», Фонда ЖКХ, а также привлечения частных инвестиций.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важной причиной, сдерживающей развитие сегмента найма жилья, является отсутствие </w:t>
      </w:r>
      <w:r w:rsidR="0090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инвестиций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78D8"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90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78D8"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наемных домов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 долгосрочную окупаемость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Представляется, что задача по развитию механизмов </w:t>
      </w:r>
      <w:r w:rsidR="0090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таких инвестиций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требует участия государства  и государственных институтов развития.</w:t>
      </w:r>
    </w:p>
    <w:p w:rsid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доли жилья, предоставляемого на условиях найма, и доли кооперативного жилья в жилищном фонде нужны серьезные структурные сдвиги в объемах строительства такого жилья. Даже при кардинальных изменениях в структуре жилищного строительства к 2030 г. доля наемных домов и домов жилищно-строительных кооперативов может достичь лишь 8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общей площади всех многоквартирных домов,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это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жилищную потребность 12%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</w:t>
      </w:r>
    </w:p>
    <w:p w:rsidR="003C2E8E" w:rsidRPr="00C60F59" w:rsidRDefault="003C2E8E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дефицита доверия при развитии новых институтов жилищного обеспечения должна решаться путем активного участия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государственной власти и </w:t>
      </w:r>
      <w:r w:rsidR="00C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наемных домах социального использования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жилищно-строительных кооперативов. </w:t>
      </w:r>
    </w:p>
    <w:p w:rsidR="00F3135D" w:rsidRPr="00F3135D" w:rsidRDefault="00526442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Стимулирование инвестиционного спроса</w:t>
      </w:r>
    </w:p>
    <w:p w:rsidR="00C60F59" w:rsidRPr="00C60F59" w:rsidRDefault="00C60F59" w:rsidP="00F3135D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r w:rsid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аничения инвестиционного спроса в настоящее время определяются о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</w:t>
      </w:r>
      <w:r w:rsid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инструментов инвестирования в жилье, доступных для граждан, а также конкурирующих по уровню доходности с другими финансовыми инструментами (ОФЗ, корпоративные облигации, </w:t>
      </w:r>
      <w:r w:rsid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ипотечные ценные бумаги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акции и т.д.)</w:t>
      </w:r>
    </w:p>
    <w:p w:rsidR="00C60F59" w:rsidRPr="00C60F59" w:rsidRDefault="00C60F59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разработать </w:t>
      </w:r>
      <w:r w:rsid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и усовершенствовать существующие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рыночные финансовые инструменты для граждан в </w:t>
      </w:r>
      <w:r w:rsid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инвестиций на рынке жилья.</w:t>
      </w:r>
    </w:p>
    <w:p w:rsidR="00C60F59" w:rsidRPr="00C60F59" w:rsidRDefault="00C60F59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законодательстве урегулирован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такая форма коллективных инвестиций как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закрытые паевые </w:t>
      </w:r>
      <w:r w:rsidR="00B8086E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8086E"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недвижимости. Основное преимущество ЗПИФ – возможность реинвестировать прибыль в полном объеме (прибыль не облагается налогом). </w:t>
      </w:r>
    </w:p>
    <w:p w:rsidR="00C60F59" w:rsidRDefault="00C60F59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  российском законодательстве не урегулированы специализированные инвестиционные трасты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(компании)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(REIT)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используемые за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рубежом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основное отличие от 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З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ПИФ состоит в том, что это </w:t>
      </w:r>
      <w:r w:rsid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 w:rsid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идические лица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корпоративным управлением (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ПИФ управляется управлявшей компанией), законом ограничена их деятельность сферой недвижимости (установлены ограничения </w:t>
      </w:r>
      <w:r w:rsid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доходов от недвижимости, на долю инвестиций в недвижимость и т.д.), установлены требования к выплате практически всех доходов акционерам (обычно минимум 90% нужно выплачивать в форме дивидендов), дивиденды подлежат вычету</w:t>
      </w:r>
      <w:proofErr w:type="gramEnd"/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налогооблагаемых доходов REIT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предоставлены иные налоговые льготы.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регулирование делает привлекательным для инвесторов 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торгуемы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REIT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(такой возможности нет в ЗПИФ)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сравнению с другими инвесторами в недвижимость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ЗПИФ,</w:t>
      </w:r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REIT имеют доступ к </w:t>
      </w:r>
      <w:proofErr w:type="gramStart"/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большим</w:t>
      </w:r>
      <w:proofErr w:type="gramEnd"/>
      <w:r w:rsidR="00B8086E" w:rsidRP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объемам корпоративных заимствований, что способствует их более приемлемой структуре капитала.</w:t>
      </w:r>
      <w:r w:rsidR="00B8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86E" w:rsidRPr="007C0F9F" w:rsidRDefault="00B8086E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целесообразным законодательно урегулировать деятельность таких специализированных инвестиционных трастов (компаний) недвижимости в </w:t>
      </w:r>
      <w:r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7C0F9F" w:rsidRPr="00700C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целях создания механизма коллективных инвестиций в наемные дома.</w:t>
      </w:r>
    </w:p>
    <w:p w:rsidR="00F3135D" w:rsidRPr="00F3135D" w:rsidRDefault="00526442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развития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застроенных территорий</w:t>
      </w:r>
    </w:p>
    <w:p w:rsidR="00F3135D" w:rsidRPr="00CF1478" w:rsidRDefault="003C2E8E" w:rsidP="00F313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только аварийный и</w:t>
      </w:r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 xml:space="preserve"> ветхий,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также </w:t>
      </w:r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>морально устаревший жилищный фонд (как многоквартирные дома, так индивидуальные жилые дома, дачи и т.д.) в городах постепенно должен подлежать сносу или реконструкции в рамках реализации проектов по развитию застроенн</w:t>
      </w:r>
      <w:r w:rsidR="00CF147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CF14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 xml:space="preserve">. Такой жилищный фонд в основном расположен в центральных и срединных зонах городов. Его снос, реконструкция и новое строительство, в том числе жилищное, </w:t>
      </w:r>
      <w:r w:rsidR="00F3135D" w:rsidRPr="00CF1478">
        <w:rPr>
          <w:rFonts w:ascii="Times New Roman" w:eastAsia="Times New Roman" w:hAnsi="Times New Roman" w:cs="Times New Roman"/>
          <w:sz w:val="28"/>
          <w:szCs w:val="28"/>
        </w:rPr>
        <w:t xml:space="preserve">при условии повышения плотности застройки таких территорий (даже при необходимом увеличении доли земель под транспортной инфраструктурой) </w:t>
      </w:r>
      <w:r w:rsidRPr="00CF1478">
        <w:rPr>
          <w:rFonts w:ascii="Times New Roman" w:eastAsia="Times New Roman" w:hAnsi="Times New Roman" w:cs="Times New Roman"/>
          <w:sz w:val="28"/>
          <w:szCs w:val="28"/>
        </w:rPr>
        <w:t xml:space="preserve">позволяют экономить общественные ресурсы и </w:t>
      </w:r>
      <w:r w:rsidR="00F3135D" w:rsidRPr="00CF1478">
        <w:rPr>
          <w:rFonts w:ascii="Times New Roman" w:eastAsia="Times New Roman" w:hAnsi="Times New Roman" w:cs="Times New Roman"/>
          <w:sz w:val="28"/>
          <w:szCs w:val="28"/>
        </w:rPr>
        <w:t xml:space="preserve">должны стать экономически привлекательными проектами для частных инвесторов. </w:t>
      </w:r>
    </w:p>
    <w:p w:rsidR="007C0F9F" w:rsidRDefault="00B8086E" w:rsidP="00F313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Во-первых, запуск процессов </w:t>
      </w:r>
      <w:r w:rsidRPr="00C60F59">
        <w:rPr>
          <w:rFonts w:ascii="Times New Roman" w:eastAsia="Times New Roman" w:hAnsi="Times New Roman" w:cs="Times New Roman"/>
          <w:sz w:val="28"/>
          <w:szCs w:val="28"/>
        </w:rPr>
        <w:t>реконструкции застроенн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 проведени</w:t>
      </w:r>
      <w:r w:rsidRPr="00700C7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C0F9F" w:rsidRPr="00700C77">
        <w:rPr>
          <w:rFonts w:ascii="Times New Roman" w:eastAsia="Times New Roman" w:hAnsi="Times New Roman" w:cs="Times New Roman"/>
          <w:sz w:val="28"/>
          <w:szCs w:val="28"/>
        </w:rPr>
        <w:t xml:space="preserve">на местах </w:t>
      </w:r>
      <w:r w:rsidRPr="00700C77">
        <w:rPr>
          <w:rFonts w:ascii="Times New Roman" w:eastAsia="Times New Roman" w:hAnsi="Times New Roman" w:cs="Times New Roman"/>
          <w:sz w:val="28"/>
          <w:szCs w:val="28"/>
        </w:rPr>
        <w:t xml:space="preserve">новой градостроительной политики, </w:t>
      </w:r>
      <w:r w:rsidR="00AD1F5F" w:rsidRPr="00700C77">
        <w:rPr>
          <w:rFonts w:ascii="Times New Roman" w:eastAsia="Times New Roman" w:hAnsi="Times New Roman" w:cs="Times New Roman"/>
          <w:sz w:val="28"/>
          <w:szCs w:val="28"/>
        </w:rPr>
        <w:t xml:space="preserve">прямо </w:t>
      </w:r>
      <w:r w:rsidRPr="00700C77">
        <w:rPr>
          <w:rFonts w:ascii="Times New Roman" w:eastAsia="Times New Roman" w:hAnsi="Times New Roman" w:cs="Times New Roman"/>
          <w:sz w:val="28"/>
          <w:szCs w:val="28"/>
        </w:rPr>
        <w:t>ограничивающей</w:t>
      </w:r>
      <w:r w:rsidR="00AD1F5F" w:rsidRPr="00700C77">
        <w:rPr>
          <w:rFonts w:ascii="Times New Roman" w:eastAsia="Times New Roman" w:hAnsi="Times New Roman" w:cs="Times New Roman"/>
          <w:sz w:val="28"/>
          <w:szCs w:val="28"/>
        </w:rPr>
        <w:t xml:space="preserve"> экстенсивное развитие городов</w:t>
      </w:r>
      <w:r w:rsidR="007C0F9F" w:rsidRPr="00700C77">
        <w:rPr>
          <w:rFonts w:ascii="Times New Roman" w:eastAsia="Times New Roman" w:hAnsi="Times New Roman" w:cs="Times New Roman"/>
          <w:sz w:val="28"/>
          <w:szCs w:val="28"/>
        </w:rPr>
        <w:t xml:space="preserve"> (особенно не растущих или теряющих население)</w:t>
      </w:r>
      <w:r w:rsidR="00AD1F5F" w:rsidRPr="00700C77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обеспечивающей для застройщиков возможности застройки </w:t>
      </w:r>
      <w:r w:rsidR="007C0F9F" w:rsidRPr="00700C77">
        <w:rPr>
          <w:rFonts w:ascii="Times New Roman" w:eastAsia="Times New Roman" w:hAnsi="Times New Roman" w:cs="Times New Roman"/>
          <w:sz w:val="28"/>
          <w:szCs w:val="28"/>
        </w:rPr>
        <w:t>преимущественно</w:t>
      </w:r>
      <w:r w:rsidR="00AD1F5F" w:rsidRPr="00700C77">
        <w:rPr>
          <w:rFonts w:ascii="Times New Roman" w:eastAsia="Times New Roman" w:hAnsi="Times New Roman" w:cs="Times New Roman"/>
          <w:sz w:val="28"/>
          <w:szCs w:val="28"/>
        </w:rPr>
        <w:t xml:space="preserve"> в существующих границах с одновременной ликвидацией ветхого</w:t>
      </w:r>
      <w:r w:rsidR="007C0F9F" w:rsidRPr="00700C77">
        <w:rPr>
          <w:rFonts w:ascii="Times New Roman" w:eastAsia="Times New Roman" w:hAnsi="Times New Roman" w:cs="Times New Roman"/>
          <w:sz w:val="28"/>
          <w:szCs w:val="28"/>
        </w:rPr>
        <w:t>, аварийного и морально устаревшего</w:t>
      </w:r>
      <w:r w:rsidR="00AD1F5F" w:rsidRPr="00700C77">
        <w:rPr>
          <w:rFonts w:ascii="Times New Roman" w:eastAsia="Times New Roman" w:hAnsi="Times New Roman" w:cs="Times New Roman"/>
          <w:sz w:val="28"/>
          <w:szCs w:val="28"/>
        </w:rPr>
        <w:t xml:space="preserve"> жилья и другой недвижимости.</w:t>
      </w:r>
      <w:r w:rsidR="00AD1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35D" w:rsidRPr="00C60F59" w:rsidRDefault="00AD1F5F" w:rsidP="00F313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т</w:t>
      </w:r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>акие проекты реконструкции застроенной территории</w:t>
      </w:r>
      <w:r w:rsidR="00CF1478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 xml:space="preserve"> реорганизации неэффективно используемых </w:t>
      </w:r>
      <w:r w:rsidR="00526442">
        <w:rPr>
          <w:rFonts w:ascii="Times New Roman" w:eastAsia="Times New Roman" w:hAnsi="Times New Roman" w:cs="Times New Roman"/>
          <w:sz w:val="28"/>
          <w:szCs w:val="28"/>
        </w:rPr>
        <w:t>бывших промышленных зон</w:t>
      </w:r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 xml:space="preserve"> (проекты </w:t>
      </w:r>
      <w:proofErr w:type="spellStart"/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>редевелопмента</w:t>
      </w:r>
      <w:proofErr w:type="spellEnd"/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 xml:space="preserve">) требуют значительных изменений в законодательстве.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>еобходимо установить четкие критерии при принятии органами местного самоуправления решений о необходимости реализации таких проектов</w:t>
      </w:r>
      <w:r w:rsidR="00F3135D" w:rsidRPr="00526442">
        <w:rPr>
          <w:rFonts w:ascii="Times New Roman" w:eastAsia="Times New Roman" w:hAnsi="Times New Roman" w:cs="Times New Roman"/>
          <w:sz w:val="28"/>
          <w:szCs w:val="28"/>
        </w:rPr>
        <w:t xml:space="preserve">. Собственники недвижимости, в том числе жилья, на таких территориях должны получить свою долю экономической выгоды от </w:t>
      </w:r>
      <w:proofErr w:type="spellStart"/>
      <w:r w:rsidR="00F3135D" w:rsidRPr="00526442">
        <w:rPr>
          <w:rFonts w:ascii="Times New Roman" w:eastAsia="Times New Roman" w:hAnsi="Times New Roman" w:cs="Times New Roman"/>
          <w:sz w:val="28"/>
          <w:szCs w:val="28"/>
        </w:rPr>
        <w:t>редевелопмента</w:t>
      </w:r>
      <w:proofErr w:type="spellEnd"/>
      <w:r w:rsidR="00F3135D" w:rsidRPr="00526442">
        <w:rPr>
          <w:rFonts w:ascii="Times New Roman" w:eastAsia="Times New Roman" w:hAnsi="Times New Roman" w:cs="Times New Roman"/>
          <w:sz w:val="28"/>
          <w:szCs w:val="28"/>
        </w:rPr>
        <w:t xml:space="preserve"> территорий. </w:t>
      </w:r>
      <w:r w:rsidR="007C0F9F">
        <w:rPr>
          <w:rFonts w:ascii="Times New Roman" w:eastAsia="Times New Roman" w:hAnsi="Times New Roman" w:cs="Times New Roman"/>
          <w:sz w:val="28"/>
          <w:szCs w:val="28"/>
        </w:rPr>
        <w:t xml:space="preserve">Важно также </w:t>
      </w:r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внедрения новых организационно-финансовых моделей государственно-частного партнерства с целью привлечь средства частных инвесторов и кредиторов в реализацию проектов </w:t>
      </w:r>
      <w:proofErr w:type="spellStart"/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>редевелопмента</w:t>
      </w:r>
      <w:proofErr w:type="spellEnd"/>
      <w:r w:rsidR="00F3135D" w:rsidRPr="00C60F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442" w:rsidRPr="00CF1478" w:rsidRDefault="00526442" w:rsidP="00CF1478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Развитие строительства и управления комплексами малоэтажной жилой застройки</w:t>
      </w:r>
    </w:p>
    <w:p w:rsidR="00526442" w:rsidRDefault="00526442" w:rsidP="005264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59">
        <w:rPr>
          <w:rFonts w:ascii="Times New Roman" w:eastAsia="Calibri" w:hAnsi="Times New Roman" w:cs="Times New Roman"/>
          <w:sz w:val="28"/>
          <w:szCs w:val="28"/>
        </w:rPr>
        <w:t xml:space="preserve">Особых механизмов требует повышение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строительства и </w:t>
      </w:r>
      <w:r w:rsidRPr="00C60F59">
        <w:rPr>
          <w:rFonts w:ascii="Times New Roman" w:eastAsia="Calibri" w:hAnsi="Times New Roman" w:cs="Times New Roman"/>
          <w:sz w:val="28"/>
          <w:szCs w:val="28"/>
        </w:rPr>
        <w:t xml:space="preserve">управления комплексами жилых домов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создаваемых профессиональными застройщиками </w:t>
      </w:r>
      <w:r w:rsidRPr="00C60F59">
        <w:rPr>
          <w:rFonts w:ascii="Times New Roman" w:eastAsia="Calibri" w:hAnsi="Times New Roman" w:cs="Times New Roman"/>
          <w:sz w:val="28"/>
          <w:szCs w:val="28"/>
        </w:rPr>
        <w:t>загородных поселках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вокруг больших городов</w:t>
      </w:r>
      <w:r w:rsidRPr="00C60F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1478" w:rsidRDefault="00526442" w:rsidP="00526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442">
        <w:rPr>
          <w:rFonts w:ascii="Times New Roman" w:hAnsi="Times New Roman" w:cs="Times New Roman"/>
          <w:sz w:val="28"/>
          <w:szCs w:val="28"/>
        </w:rPr>
        <w:t xml:space="preserve">Предлагается сформировать условия для постепенного замещения индивидуального жилищного строительства </w:t>
      </w:r>
      <w:r w:rsidR="00CF1478">
        <w:rPr>
          <w:rFonts w:ascii="Times New Roman" w:hAnsi="Times New Roman" w:cs="Times New Roman"/>
          <w:sz w:val="28"/>
          <w:szCs w:val="28"/>
        </w:rPr>
        <w:t>(</w:t>
      </w:r>
      <w:r w:rsidRPr="00526442">
        <w:rPr>
          <w:rFonts w:ascii="Times New Roman" w:hAnsi="Times New Roman" w:cs="Times New Roman"/>
          <w:sz w:val="28"/>
          <w:szCs w:val="28"/>
        </w:rPr>
        <w:t>в первую очередь в пригородных зонах</w:t>
      </w:r>
      <w:r w:rsidR="00CF1478">
        <w:rPr>
          <w:rFonts w:ascii="Times New Roman" w:hAnsi="Times New Roman" w:cs="Times New Roman"/>
          <w:sz w:val="28"/>
          <w:szCs w:val="28"/>
        </w:rPr>
        <w:t>)</w:t>
      </w:r>
      <w:r w:rsidRPr="00526442">
        <w:rPr>
          <w:rFonts w:ascii="Times New Roman" w:hAnsi="Times New Roman" w:cs="Times New Roman"/>
          <w:sz w:val="28"/>
          <w:szCs w:val="28"/>
        </w:rPr>
        <w:t xml:space="preserve"> строительством односемейных жилых домов</w:t>
      </w:r>
      <w:r w:rsidR="00CF1478">
        <w:rPr>
          <w:rFonts w:ascii="Times New Roman" w:hAnsi="Times New Roman" w:cs="Times New Roman"/>
          <w:sz w:val="28"/>
          <w:szCs w:val="28"/>
        </w:rPr>
        <w:t>, жилых домов блокированной застройки</w:t>
      </w:r>
      <w:r w:rsidR="00AD1F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1F5F">
        <w:rPr>
          <w:rFonts w:ascii="Times New Roman" w:hAnsi="Times New Roman" w:cs="Times New Roman"/>
          <w:sz w:val="28"/>
          <w:szCs w:val="28"/>
        </w:rPr>
        <w:t>таун-хаусов</w:t>
      </w:r>
      <w:proofErr w:type="spellEnd"/>
      <w:r w:rsidR="00AD1F5F">
        <w:rPr>
          <w:rFonts w:ascii="Times New Roman" w:hAnsi="Times New Roman" w:cs="Times New Roman"/>
          <w:sz w:val="28"/>
          <w:szCs w:val="28"/>
        </w:rPr>
        <w:t>, дуплексов и т.п.)</w:t>
      </w:r>
      <w:r w:rsidRPr="00526442">
        <w:rPr>
          <w:rFonts w:ascii="Times New Roman" w:hAnsi="Times New Roman" w:cs="Times New Roman"/>
          <w:sz w:val="28"/>
          <w:szCs w:val="28"/>
        </w:rPr>
        <w:t xml:space="preserve"> профессиональными застройщиками. Для этого следует отрегулировать принципы формирования и управления комплексами малоэтажной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8E" w:rsidRDefault="00526442" w:rsidP="005264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59">
        <w:rPr>
          <w:rFonts w:ascii="Times New Roman" w:eastAsia="Calibri" w:hAnsi="Times New Roman" w:cs="Times New Roman"/>
          <w:sz w:val="28"/>
          <w:szCs w:val="28"/>
        </w:rPr>
        <w:t xml:space="preserve">В таких </w:t>
      </w:r>
      <w:r>
        <w:rPr>
          <w:rFonts w:ascii="Times New Roman" w:eastAsia="Calibri" w:hAnsi="Times New Roman" w:cs="Times New Roman"/>
          <w:sz w:val="28"/>
          <w:szCs w:val="28"/>
        </w:rPr>
        <w:t>комплексах</w:t>
      </w:r>
      <w:r w:rsidRPr="00C60F59">
        <w:rPr>
          <w:rFonts w:ascii="Times New Roman" w:eastAsia="Calibri" w:hAnsi="Times New Roman" w:cs="Times New Roman"/>
          <w:sz w:val="28"/>
          <w:szCs w:val="28"/>
        </w:rPr>
        <w:t>, как правило, дорожная и коммунальная инфраструктура, иные объекты благоустройства фактически представляют собой общее имущество, которым пользуются собственники и иные пользователи таких жилых домов. Необходимо законодательное регулирование института общего имущества в малоэтажной застройке, возможного состава такого общего имущества, а также создания и управления общим имуществом. Такое имущество может находиться либо в общей долевой собственности собственников жилых домов и земельных участков, на которых они расположены, либо в собственности, например, товарищества собственников недвижимости, товарищества индивидуальных застройщиков, кооператива в малоэтажной застройке.</w:t>
      </w:r>
    </w:p>
    <w:p w:rsidR="00526442" w:rsidRDefault="00FE418E" w:rsidP="00CF1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указанных вопросов позволит сформировать качественно новый жилищный продукт, что позволит мобилизовать потребительский спрос граждан с высокими доходами, которые </w:t>
      </w:r>
      <w:r w:rsidR="00CF1478">
        <w:rPr>
          <w:rFonts w:ascii="Times New Roman" w:eastAsia="Calibri" w:hAnsi="Times New Roman" w:cs="Times New Roman"/>
          <w:sz w:val="28"/>
          <w:szCs w:val="28"/>
        </w:rPr>
        <w:t>имеют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жилье, </w:t>
      </w:r>
      <w:r w:rsidR="00CF1478">
        <w:rPr>
          <w:rFonts w:ascii="Times New Roman" w:eastAsia="Calibri" w:hAnsi="Times New Roman" w:cs="Times New Roman"/>
          <w:sz w:val="28"/>
          <w:szCs w:val="28"/>
        </w:rPr>
        <w:t>уже не удовлетворяющее их возросшим потребностям,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пока не видят возможностей дальнейшего улучшения условий проживания.</w:t>
      </w:r>
      <w:r w:rsidR="00526442" w:rsidRPr="00C6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478">
        <w:rPr>
          <w:rFonts w:ascii="Times New Roman" w:eastAsia="Calibri" w:hAnsi="Times New Roman" w:cs="Times New Roman"/>
          <w:sz w:val="28"/>
          <w:szCs w:val="28"/>
        </w:rPr>
        <w:t>Переезд таких домохозяйств в новое пригородное жилье позволит вывести на рынок ранее занимаемое ими жилье и тем самым повысить так называемую жилищную фильтрацию (длина цепочки улучшения жилищных условий при  строительстве одной жилой единицы).</w:t>
      </w:r>
    </w:p>
    <w:p w:rsidR="00F3135D" w:rsidRPr="00F3135D" w:rsidRDefault="00526442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Увеличение объемов капитального ремонта многокварти</w:t>
      </w:r>
      <w:r w:rsid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домов, переход к комплексной модернизации</w:t>
      </w:r>
    </w:p>
    <w:p w:rsidR="00F3135D" w:rsidRPr="00C60F59" w:rsidRDefault="00F3135D" w:rsidP="00F313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модернизацию с повышением класса </w:t>
      </w:r>
      <w:proofErr w:type="spellStart"/>
      <w:r w:rsidRPr="00C60F59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 жилищного фонда целесообразно проводить не в отношении многоквартирных домов, находящихся в наихудшем состоянии (аварийных и ветхих) или морально устаревших</w:t>
      </w:r>
      <w:r w:rsidR="00CF1478">
        <w:rPr>
          <w:rFonts w:ascii="Times New Roman" w:eastAsia="Times New Roman" w:hAnsi="Times New Roman" w:cs="Times New Roman"/>
          <w:sz w:val="28"/>
          <w:szCs w:val="28"/>
        </w:rPr>
        <w:t xml:space="preserve"> (такие дома скорее должны подлежать сносу в рамках проектов по </w:t>
      </w:r>
      <w:proofErr w:type="spellStart"/>
      <w:r w:rsidR="00CF1478">
        <w:rPr>
          <w:rFonts w:ascii="Times New Roman" w:eastAsia="Times New Roman" w:hAnsi="Times New Roman" w:cs="Times New Roman"/>
          <w:sz w:val="28"/>
          <w:szCs w:val="28"/>
        </w:rPr>
        <w:t>редевелопменту</w:t>
      </w:r>
      <w:proofErr w:type="spellEnd"/>
      <w:r w:rsidR="00CF1478">
        <w:rPr>
          <w:rFonts w:ascii="Times New Roman" w:eastAsia="Times New Roman" w:hAnsi="Times New Roman" w:cs="Times New Roman"/>
          <w:sz w:val="28"/>
          <w:szCs w:val="28"/>
        </w:rPr>
        <w:t xml:space="preserve"> территорий)</w:t>
      </w:r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, а в первую очередь </w:t>
      </w:r>
      <w:r w:rsidR="005264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0F59">
        <w:rPr>
          <w:rFonts w:ascii="Times New Roman" w:eastAsia="Times New Roman" w:hAnsi="Times New Roman" w:cs="Times New Roman"/>
          <w:sz w:val="28"/>
          <w:szCs w:val="28"/>
        </w:rPr>
        <w:t>в отношении  многоквартирных домов, построенных в 1960–1980-е годы.</w:t>
      </w:r>
      <w:proofErr w:type="gramEnd"/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 Такой жилищный фонд составляет, по оценкам, около 50% всего городского жилищного фонда России, повышение качества такого жилищного актива требует меньше затрат относительно каждой жилой единицы и частично снизит необходимость строительства нового жилья для улучшения жилищных условий проживающих в таком фонде граждан, повысит ликвидность такого фонда на </w:t>
      </w:r>
      <w:r w:rsidR="00526442">
        <w:rPr>
          <w:rFonts w:ascii="Times New Roman" w:eastAsia="Times New Roman" w:hAnsi="Times New Roman" w:cs="Times New Roman"/>
          <w:sz w:val="28"/>
          <w:szCs w:val="28"/>
        </w:rPr>
        <w:t xml:space="preserve">вторичном </w:t>
      </w:r>
      <w:r w:rsidRPr="00C60F59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="00526442">
        <w:rPr>
          <w:rFonts w:ascii="Times New Roman" w:eastAsia="Times New Roman" w:hAnsi="Times New Roman" w:cs="Times New Roman"/>
          <w:sz w:val="28"/>
          <w:szCs w:val="28"/>
        </w:rPr>
        <w:t xml:space="preserve"> жилья</w:t>
      </w:r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6442" w:rsidRDefault="00F3135D" w:rsidP="00F313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В целях капитального ремонта и модернизации таких многоквартирных домов необходимо развивать систему банковского кредитования.  Предоставление таких кредитов может осуществляться банками, в которых открыты специальные счета для формирования фондов капитального ремонта многоквартирных домов, обязательные взносы на которые станут надежным источником возврата таких кредитов. </w:t>
      </w:r>
    </w:p>
    <w:p w:rsidR="00F3135D" w:rsidRDefault="00F3135D" w:rsidP="00CF14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2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по сути, должны быть заинтересованы в такой кредитной схеме финансирования капитального ремонта (по сравнению с накопительной), поскольку в условиях высокой инфляции она позволяет им раньше получить жилищное благо лучшего качества с теми же затратами (которые равны сумме обязательных платежей). Для стимулирования</w:t>
      </w:r>
      <w:r w:rsidRPr="00C60F59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к принятию такого решения им может быть предоставлена субсидия на частичную оплату первоначального взноса по кредиту на капитальный ремонт за счет средств региональных и (или) местных бюджетов.</w:t>
      </w:r>
    </w:p>
    <w:p w:rsidR="00F3135D" w:rsidRPr="00F3135D" w:rsidRDefault="00526442" w:rsidP="00C60F59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Повышение роли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градостроительных и жилищных решениях, а также взаимосвязи градостроительной политики с жилищной политикой</w:t>
      </w:r>
      <w:r w:rsidR="00F3135D" w:rsidRPr="00F31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влияние местных сообществ - жителей городов и иных поселений, которые являются непосредственными потребителями жилищных благ и услуг, местных общественных объединений граждан, на принятие органами местного самоуправления градостроительных решений и формирование приоритетов жилищной политики с учетом интересов таких местных сообществ.</w:t>
      </w:r>
    </w:p>
    <w:p w:rsidR="00526442" w:rsidRPr="00C60F59" w:rsidRDefault="00526442" w:rsidP="00526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59">
        <w:rPr>
          <w:rFonts w:ascii="Times New Roman" w:hAnsi="Times New Roman" w:cs="Times New Roman"/>
          <w:sz w:val="28"/>
          <w:szCs w:val="28"/>
        </w:rPr>
        <w:t xml:space="preserve">Для стимулирования преобразования территорий российских городов органы местного самоуправления должны шире использовать инструменты градостроительного планирования и зонирования, предъявлять в рамках градостроительных регламентов требования к эффективным планировочным </w:t>
      </w:r>
      <w:r>
        <w:rPr>
          <w:rFonts w:ascii="Times New Roman" w:hAnsi="Times New Roman" w:cs="Times New Roman"/>
          <w:sz w:val="28"/>
          <w:szCs w:val="28"/>
        </w:rPr>
        <w:t>структурам, разрешенным видам использования земельных участков для различных форм жилищного строительства</w:t>
      </w:r>
      <w:r w:rsidR="00FE4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1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многофункциональных зданий жилого и нежилого назначения, </w:t>
      </w:r>
      <w:r w:rsidRPr="00C60F59">
        <w:rPr>
          <w:rFonts w:ascii="Times New Roman" w:hAnsi="Times New Roman" w:cs="Times New Roman"/>
          <w:sz w:val="28"/>
          <w:szCs w:val="28"/>
        </w:rPr>
        <w:t>а также поддерживать формирование архитектурной выразительности новой застройки.</w:t>
      </w:r>
      <w:proofErr w:type="gramEnd"/>
      <w:r w:rsidRPr="00C60F59">
        <w:rPr>
          <w:rFonts w:ascii="Times New Roman" w:hAnsi="Times New Roman" w:cs="Times New Roman"/>
          <w:sz w:val="28"/>
          <w:szCs w:val="28"/>
        </w:rPr>
        <w:t xml:space="preserve"> Эффективным инструментом могло бы стать налоговое регулирование в части дифференциации ставок единого местного налога на недвижимость </w:t>
      </w:r>
      <w:r w:rsidR="00CF1478">
        <w:rPr>
          <w:rFonts w:ascii="Times New Roman" w:hAnsi="Times New Roman" w:cs="Times New Roman"/>
          <w:sz w:val="28"/>
          <w:szCs w:val="28"/>
        </w:rPr>
        <w:t xml:space="preserve">(пока – налогов на имущество физических лиц и организаций, земельного налога) </w:t>
      </w:r>
      <w:r w:rsidRPr="00C60F59">
        <w:rPr>
          <w:rFonts w:ascii="Times New Roman" w:hAnsi="Times New Roman" w:cs="Times New Roman"/>
          <w:sz w:val="28"/>
          <w:szCs w:val="28"/>
        </w:rPr>
        <w:t xml:space="preserve">по территории и по видам использования недвижимости. 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изменения предполагают: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расширение полномочий органов местного самоуправления по регулированию землепользования и застройки, реализации градостроительной, земельной, инфраструктурной (в том числе тарифной) и жилищной политики на своих территориях, отмена необоснованной возможности изъятия таких полномочий у органов местного самоуправления </w:t>
      </w:r>
      <w:r w:rsidR="003C2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Российской Федерации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кардинальное повышение качества  градостроительного планирования и зонирования на местном уровне, использование органами местного самоуправления градостроительного регулирования как реального механизма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жилищной политики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городах и поселениях;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полномочий органов местного самоуправления по созданию муниципального жилищного фонда социального использования (для предоставления в социальный и некоммерческий наем), содействию в формировании частного жилищного фонда социального использования (для предоставления в некоммерческий наем), фонда жилищно-строительных кооперативов, предоставлению гражданам субсидий на наем частного жилья;</w:t>
      </w:r>
    </w:p>
    <w:p w:rsidR="00F3135D" w:rsidRPr="00F3135D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увеличение объемов муниципальных финансовых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перераспределения налоговых доходов между уровнями бюджетной системы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35D" w:rsidRPr="00C60F59" w:rsidRDefault="00F3135D" w:rsidP="00F3135D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федеральных и (или) региональных субсидий муниципалитетам с недостаточной бюджетной обеспеченностью на создание различных возможностей по жилищному обеспечению граждан с невысокими или низкими доходами без указания, какие именно механизмы улучшения жилищных условий должны использоваться муниципалитетами.</w:t>
      </w:r>
    </w:p>
    <w:sectPr w:rsidR="00F3135D" w:rsidRPr="00C60F59" w:rsidSect="00164531"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84" w:rsidRDefault="00621B84" w:rsidP="00C60F59">
      <w:pPr>
        <w:spacing w:after="0" w:line="240" w:lineRule="auto"/>
      </w:pPr>
      <w:r>
        <w:separator/>
      </w:r>
    </w:p>
  </w:endnote>
  <w:endnote w:type="continuationSeparator" w:id="0">
    <w:p w:rsidR="00621B84" w:rsidRDefault="00621B84" w:rsidP="00C6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EF" w:rsidRPr="00B50B58" w:rsidRDefault="00160CFD" w:rsidP="0077281A">
    <w:pPr>
      <w:pStyle w:val="a3"/>
      <w:jc w:val="center"/>
      <w:rPr>
        <w:sz w:val="24"/>
        <w:szCs w:val="24"/>
      </w:rPr>
    </w:pPr>
    <w:r w:rsidRPr="00B50B58">
      <w:rPr>
        <w:sz w:val="24"/>
        <w:szCs w:val="24"/>
      </w:rPr>
      <w:fldChar w:fldCharType="begin"/>
    </w:r>
    <w:r w:rsidRPr="00B50B58">
      <w:rPr>
        <w:sz w:val="24"/>
        <w:szCs w:val="24"/>
      </w:rPr>
      <w:instrText xml:space="preserve"> PAGE   \* MERGEFORMAT </w:instrText>
    </w:r>
    <w:r w:rsidRPr="00B50B58">
      <w:rPr>
        <w:sz w:val="24"/>
        <w:szCs w:val="24"/>
      </w:rPr>
      <w:fldChar w:fldCharType="separate"/>
    </w:r>
    <w:r w:rsidR="00700C77">
      <w:rPr>
        <w:noProof/>
        <w:sz w:val="24"/>
        <w:szCs w:val="24"/>
      </w:rPr>
      <w:t>1</w:t>
    </w:r>
    <w:r w:rsidRPr="00B50B5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84" w:rsidRDefault="00621B84" w:rsidP="00C60F59">
      <w:pPr>
        <w:spacing w:after="0" w:line="240" w:lineRule="auto"/>
      </w:pPr>
      <w:r>
        <w:separator/>
      </w:r>
    </w:p>
  </w:footnote>
  <w:footnote w:type="continuationSeparator" w:id="0">
    <w:p w:rsidR="00621B84" w:rsidRDefault="00621B84" w:rsidP="00C60F59">
      <w:pPr>
        <w:spacing w:after="0" w:line="240" w:lineRule="auto"/>
      </w:pPr>
      <w:r>
        <w:continuationSeparator/>
      </w:r>
    </w:p>
  </w:footnote>
  <w:footnote w:id="1">
    <w:p w:rsidR="00526442" w:rsidRPr="007C0F9F" w:rsidRDefault="00526442" w:rsidP="007C0F9F">
      <w:pPr>
        <w:pStyle w:val="a5"/>
        <w:jc w:val="both"/>
        <w:rPr>
          <w:rFonts w:ascii="Times New Roman" w:hAnsi="Times New Roman" w:cs="Times New Roman"/>
        </w:rPr>
      </w:pPr>
      <w:r w:rsidRPr="007C0F9F">
        <w:rPr>
          <w:rStyle w:val="a7"/>
          <w:rFonts w:ascii="Times New Roman" w:hAnsi="Times New Roman" w:cs="Times New Roman"/>
        </w:rPr>
        <w:footnoteRef/>
      </w:r>
      <w:r w:rsidRPr="007C0F9F">
        <w:rPr>
          <w:rFonts w:ascii="Times New Roman" w:hAnsi="Times New Roman" w:cs="Times New Roman"/>
        </w:rPr>
        <w:t xml:space="preserve"> Еще</w:t>
      </w:r>
      <w:r w:rsidR="00CF1478" w:rsidRPr="007C0F9F">
        <w:rPr>
          <w:rFonts w:ascii="Times New Roman" w:hAnsi="Times New Roman" w:cs="Times New Roman"/>
        </w:rPr>
        <w:t xml:space="preserve"> 10</w:t>
      </w:r>
      <w:r w:rsidRPr="007C0F9F">
        <w:rPr>
          <w:rFonts w:ascii="Times New Roman" w:hAnsi="Times New Roman" w:cs="Times New Roman"/>
        </w:rPr>
        <w:t>% жилищного фонда сдается гражданами</w:t>
      </w:r>
      <w:r w:rsidR="00CF1478" w:rsidRPr="007C0F9F">
        <w:rPr>
          <w:rFonts w:ascii="Times New Roman" w:hAnsi="Times New Roman" w:cs="Times New Roman"/>
        </w:rPr>
        <w:t>-</w:t>
      </w:r>
      <w:r w:rsidRPr="007C0F9F">
        <w:rPr>
          <w:rFonts w:ascii="Times New Roman" w:hAnsi="Times New Roman" w:cs="Times New Roman"/>
        </w:rPr>
        <w:t>собственниками</w:t>
      </w:r>
      <w:r w:rsidR="00CF1478" w:rsidRPr="007C0F9F">
        <w:rPr>
          <w:rFonts w:ascii="Times New Roman" w:hAnsi="Times New Roman" w:cs="Times New Roman"/>
        </w:rPr>
        <w:t xml:space="preserve"> жилых помещений </w:t>
      </w:r>
      <w:r w:rsidRPr="007C0F9F">
        <w:rPr>
          <w:rFonts w:ascii="Times New Roman" w:hAnsi="Times New Roman" w:cs="Times New Roman"/>
        </w:rPr>
        <w:t xml:space="preserve"> внаем. Однако такой сегмент находится в «теневой» правовой и налоговой зоне, где права нанимателей и </w:t>
      </w:r>
      <w:proofErr w:type="spellStart"/>
      <w:r w:rsidRPr="007C0F9F">
        <w:rPr>
          <w:rFonts w:ascii="Times New Roman" w:hAnsi="Times New Roman" w:cs="Times New Roman"/>
        </w:rPr>
        <w:t>наймодателей</w:t>
      </w:r>
      <w:proofErr w:type="spellEnd"/>
      <w:r w:rsidRPr="007C0F9F">
        <w:rPr>
          <w:rFonts w:ascii="Times New Roman" w:hAnsi="Times New Roman" w:cs="Times New Roman"/>
        </w:rPr>
        <w:t xml:space="preserve"> слабо защищены. </w:t>
      </w:r>
    </w:p>
  </w:footnote>
  <w:footnote w:id="2">
    <w:p w:rsidR="007C0F9F" w:rsidRPr="00FF1208" w:rsidRDefault="007C0F9F" w:rsidP="007C0F9F">
      <w:pPr>
        <w:pStyle w:val="a5"/>
        <w:jc w:val="both"/>
        <w:rPr>
          <w:rFonts w:ascii="Times New Roman" w:hAnsi="Times New Roman" w:cs="Times New Roman"/>
        </w:rPr>
      </w:pPr>
      <w:r w:rsidRPr="00FF1208">
        <w:rPr>
          <w:rStyle w:val="a7"/>
          <w:rFonts w:ascii="Times New Roman" w:hAnsi="Times New Roman" w:cs="Times New Roman"/>
        </w:rPr>
        <w:footnoteRef/>
      </w:r>
      <w:r w:rsidRPr="00FF1208">
        <w:rPr>
          <w:rFonts w:ascii="Times New Roman" w:hAnsi="Times New Roman" w:cs="Times New Roman"/>
        </w:rPr>
        <w:t xml:space="preserve"> Расчеты Института экономики города: </w:t>
      </w:r>
      <w:hyperlink r:id="rId1" w:history="1">
        <w:r w:rsidRPr="00FF1208">
          <w:rPr>
            <w:rStyle w:val="af1"/>
            <w:rFonts w:ascii="Times New Roman" w:hAnsi="Times New Roman" w:cs="Times New Roman"/>
          </w:rPr>
          <w:t>http://www.urbaneconomics.ru/research/analytics/pokazateli-dostupnosti-zhilya-v-rossii-1998-2015-gg</w:t>
        </w:r>
      </w:hyperlink>
      <w:r w:rsidRPr="00FF1208">
        <w:rPr>
          <w:rFonts w:ascii="Times New Roman" w:hAnsi="Times New Roman" w:cs="Times New Roman"/>
        </w:rPr>
        <w:t xml:space="preserve"> </w:t>
      </w:r>
    </w:p>
  </w:footnote>
  <w:footnote w:id="3">
    <w:p w:rsidR="00FF1208" w:rsidRPr="00FF1208" w:rsidRDefault="00FF1208" w:rsidP="00FF1208">
      <w:pPr>
        <w:pStyle w:val="a5"/>
        <w:jc w:val="both"/>
        <w:rPr>
          <w:rFonts w:ascii="Times New Roman" w:hAnsi="Times New Roman" w:cs="Times New Roman"/>
        </w:rPr>
      </w:pPr>
      <w:r w:rsidRPr="00FF1208">
        <w:rPr>
          <w:rStyle w:val="a7"/>
          <w:rFonts w:ascii="Times New Roman" w:hAnsi="Times New Roman" w:cs="Times New Roman"/>
        </w:rPr>
        <w:footnoteRef/>
      </w:r>
      <w:r w:rsidRPr="00FF1208">
        <w:rPr>
          <w:rFonts w:ascii="Times New Roman" w:hAnsi="Times New Roman" w:cs="Times New Roman"/>
        </w:rPr>
        <w:t xml:space="preserve"> Расчеты Института экономики города: </w:t>
      </w:r>
      <w:hyperlink r:id="rId2" w:history="1">
        <w:r w:rsidRPr="00FF1208">
          <w:rPr>
            <w:rStyle w:val="af1"/>
            <w:rFonts w:ascii="Times New Roman" w:hAnsi="Times New Roman" w:cs="Times New Roman"/>
          </w:rPr>
          <w:t>http://www.urbaneconomics.ru/research/analytics/pokazateli-dostupnosti-zhilya-v-rossii-1998-2015-gg</w:t>
        </w:r>
      </w:hyperlink>
      <w:r w:rsidRPr="00FF1208">
        <w:rPr>
          <w:rFonts w:ascii="Times New Roman" w:hAnsi="Times New Roman" w:cs="Times New Roman"/>
        </w:rPr>
        <w:t xml:space="preserve"> </w:t>
      </w:r>
    </w:p>
  </w:footnote>
  <w:footnote w:id="4">
    <w:p w:rsidR="005F470B" w:rsidRPr="007C0F9F" w:rsidRDefault="005F470B">
      <w:pPr>
        <w:pStyle w:val="a5"/>
        <w:rPr>
          <w:rFonts w:ascii="Times New Roman" w:hAnsi="Times New Roman" w:cs="Times New Roman"/>
        </w:rPr>
      </w:pPr>
      <w:r w:rsidRPr="007C0F9F">
        <w:rPr>
          <w:rStyle w:val="a7"/>
          <w:rFonts w:ascii="Times New Roman" w:hAnsi="Times New Roman" w:cs="Times New Roman"/>
        </w:rPr>
        <w:footnoteRef/>
      </w:r>
      <w:r w:rsidRPr="007C0F9F">
        <w:rPr>
          <w:rFonts w:ascii="Times New Roman" w:hAnsi="Times New Roman" w:cs="Times New Roman"/>
        </w:rPr>
        <w:t xml:space="preserve"> Расчеты авторов по данным Росстата.</w:t>
      </w:r>
    </w:p>
  </w:footnote>
  <w:footnote w:id="5">
    <w:p w:rsidR="00CF1478" w:rsidRPr="007C0F9F" w:rsidRDefault="00CF1478">
      <w:pPr>
        <w:pStyle w:val="a5"/>
        <w:rPr>
          <w:rFonts w:ascii="Times New Roman" w:hAnsi="Times New Roman" w:cs="Times New Roman"/>
        </w:rPr>
      </w:pPr>
      <w:r w:rsidRPr="007C0F9F">
        <w:rPr>
          <w:rStyle w:val="a7"/>
          <w:rFonts w:ascii="Times New Roman" w:hAnsi="Times New Roman" w:cs="Times New Roman"/>
        </w:rPr>
        <w:footnoteRef/>
      </w:r>
      <w:r w:rsidRPr="007C0F9F">
        <w:rPr>
          <w:rFonts w:ascii="Times New Roman" w:hAnsi="Times New Roman" w:cs="Times New Roman"/>
        </w:rPr>
        <w:t xml:space="preserve"> Для сравнения - объем </w:t>
      </w:r>
      <w:r w:rsidR="00D92409">
        <w:rPr>
          <w:rFonts w:ascii="Times New Roman" w:hAnsi="Times New Roman" w:cs="Times New Roman"/>
        </w:rPr>
        <w:t xml:space="preserve">расходов на строительство </w:t>
      </w:r>
      <w:r w:rsidR="00D92409" w:rsidRPr="007C0F9F">
        <w:rPr>
          <w:rFonts w:ascii="Times New Roman" w:hAnsi="Times New Roman" w:cs="Times New Roman"/>
        </w:rPr>
        <w:t>жил</w:t>
      </w:r>
      <w:r w:rsidR="00D92409">
        <w:rPr>
          <w:rFonts w:ascii="Times New Roman" w:hAnsi="Times New Roman" w:cs="Times New Roman"/>
        </w:rPr>
        <w:t xml:space="preserve">ья (за исключением </w:t>
      </w:r>
      <w:r w:rsidR="007C0F9F">
        <w:rPr>
          <w:rFonts w:ascii="Times New Roman" w:hAnsi="Times New Roman" w:cs="Times New Roman"/>
        </w:rPr>
        <w:t>индивидуального жилищного строительства)</w:t>
      </w:r>
      <w:r w:rsidRPr="007C0F9F">
        <w:rPr>
          <w:rFonts w:ascii="Times New Roman" w:hAnsi="Times New Roman" w:cs="Times New Roman"/>
        </w:rPr>
        <w:t xml:space="preserve"> </w:t>
      </w:r>
      <w:r w:rsidR="007C0F9F">
        <w:rPr>
          <w:rFonts w:ascii="Times New Roman" w:hAnsi="Times New Roman" w:cs="Times New Roman"/>
        </w:rPr>
        <w:t xml:space="preserve"> </w:t>
      </w:r>
      <w:r w:rsidRPr="007C0F9F">
        <w:rPr>
          <w:rFonts w:ascii="Times New Roman" w:hAnsi="Times New Roman" w:cs="Times New Roman"/>
        </w:rPr>
        <w:t xml:space="preserve">составляет ежегодно, по оценкам, около 3 трлн. руб. </w:t>
      </w:r>
    </w:p>
  </w:footnote>
  <w:footnote w:id="6">
    <w:p w:rsidR="00F3135D" w:rsidRPr="007C0F9F" w:rsidRDefault="00F3135D" w:rsidP="007C0F9F">
      <w:pPr>
        <w:pStyle w:val="a5"/>
        <w:jc w:val="both"/>
        <w:rPr>
          <w:rFonts w:ascii="Times New Roman" w:hAnsi="Times New Roman" w:cs="Times New Roman"/>
        </w:rPr>
      </w:pPr>
      <w:r w:rsidRPr="007C0F9F">
        <w:rPr>
          <w:rStyle w:val="a7"/>
          <w:rFonts w:ascii="Times New Roman" w:hAnsi="Times New Roman" w:cs="Times New Roman"/>
        </w:rPr>
        <w:footnoteRef/>
      </w:r>
      <w:r w:rsidRPr="007C0F9F">
        <w:rPr>
          <w:rFonts w:ascii="Times New Roman" w:hAnsi="Times New Roman" w:cs="Times New Roman"/>
        </w:rPr>
        <w:t xml:space="preserve"> Для крупнейших городов мира сегодня характерна высокая доля наемного жилья (89% в Берлине, 82% в Амстердаме, 71% в Париже, 68% в Нью-Йорке, 43% в Лондоне), что существенно выше, чем в Москве и других крупных российских городах, где эта доля не превышает 30%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44B"/>
    <w:multiLevelType w:val="hybridMultilevel"/>
    <w:tmpl w:val="EC061F60"/>
    <w:lvl w:ilvl="0" w:tplc="A066F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C6E89"/>
    <w:multiLevelType w:val="multilevel"/>
    <w:tmpl w:val="A39C2A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DE524B"/>
    <w:multiLevelType w:val="hybridMultilevel"/>
    <w:tmpl w:val="9A321604"/>
    <w:lvl w:ilvl="0" w:tplc="941EF05C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85FFB"/>
    <w:multiLevelType w:val="hybridMultilevel"/>
    <w:tmpl w:val="2EB8C370"/>
    <w:lvl w:ilvl="0" w:tplc="17E28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E1027A"/>
    <w:multiLevelType w:val="hybridMultilevel"/>
    <w:tmpl w:val="697AD3BA"/>
    <w:lvl w:ilvl="0" w:tplc="B14A0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074B6"/>
    <w:multiLevelType w:val="hybridMultilevel"/>
    <w:tmpl w:val="EC061F60"/>
    <w:lvl w:ilvl="0" w:tplc="A066F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2F23A9"/>
    <w:multiLevelType w:val="hybridMultilevel"/>
    <w:tmpl w:val="2290399E"/>
    <w:lvl w:ilvl="0" w:tplc="F3C43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59"/>
    <w:rsid w:val="00026656"/>
    <w:rsid w:val="00160CFD"/>
    <w:rsid w:val="003A4B35"/>
    <w:rsid w:val="003C2E8E"/>
    <w:rsid w:val="00504525"/>
    <w:rsid w:val="00526442"/>
    <w:rsid w:val="005F3842"/>
    <w:rsid w:val="005F470B"/>
    <w:rsid w:val="00621B84"/>
    <w:rsid w:val="00700C77"/>
    <w:rsid w:val="007439BD"/>
    <w:rsid w:val="007A2718"/>
    <w:rsid w:val="007C0F9F"/>
    <w:rsid w:val="00815BE5"/>
    <w:rsid w:val="009078D8"/>
    <w:rsid w:val="00A27012"/>
    <w:rsid w:val="00A762C6"/>
    <w:rsid w:val="00AD1F5F"/>
    <w:rsid w:val="00AF4285"/>
    <w:rsid w:val="00B8086E"/>
    <w:rsid w:val="00C019A0"/>
    <w:rsid w:val="00C60F59"/>
    <w:rsid w:val="00CF1478"/>
    <w:rsid w:val="00D92409"/>
    <w:rsid w:val="00DF18BB"/>
    <w:rsid w:val="00E954CD"/>
    <w:rsid w:val="00F3135D"/>
    <w:rsid w:val="00F54316"/>
    <w:rsid w:val="00FE13B7"/>
    <w:rsid w:val="00FE418E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0F59"/>
  </w:style>
  <w:style w:type="paragraph" w:styleId="a5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 Знак Знак Знак Знак,Знак Знак Знак Знак,Текст сноски Знак1"/>
    <w:basedOn w:val="a"/>
    <w:link w:val="a6"/>
    <w:uiPriority w:val="99"/>
    <w:unhideWhenUsed/>
    <w:rsid w:val="00C60F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"/>
    <w:basedOn w:val="a0"/>
    <w:link w:val="a5"/>
    <w:uiPriority w:val="99"/>
    <w:rsid w:val="00C60F59"/>
    <w:rPr>
      <w:sz w:val="20"/>
      <w:szCs w:val="20"/>
    </w:rPr>
  </w:style>
  <w:style w:type="character" w:styleId="a7">
    <w:name w:val="footnote reference"/>
    <w:aliases w:val="Знак сноски-FN,Ciae niinee-FN,Знак сноски 1,Ciae niinee 1"/>
    <w:basedOn w:val="a0"/>
    <w:unhideWhenUsed/>
    <w:rsid w:val="00C60F59"/>
    <w:rPr>
      <w:vertAlign w:val="superscript"/>
    </w:rPr>
  </w:style>
  <w:style w:type="table" w:styleId="a8">
    <w:name w:val="Table Grid"/>
    <w:basedOn w:val="a1"/>
    <w:uiPriority w:val="59"/>
    <w:rsid w:val="00C6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313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13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13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1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135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3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35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2644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F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0F59"/>
  </w:style>
  <w:style w:type="paragraph" w:styleId="a5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 Знак Знак Знак Знак,Знак Знак Знак Знак,Текст сноски Знак1"/>
    <w:basedOn w:val="a"/>
    <w:link w:val="a6"/>
    <w:uiPriority w:val="99"/>
    <w:unhideWhenUsed/>
    <w:rsid w:val="00C60F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"/>
    <w:basedOn w:val="a0"/>
    <w:link w:val="a5"/>
    <w:uiPriority w:val="99"/>
    <w:rsid w:val="00C60F59"/>
    <w:rPr>
      <w:sz w:val="20"/>
      <w:szCs w:val="20"/>
    </w:rPr>
  </w:style>
  <w:style w:type="character" w:styleId="a7">
    <w:name w:val="footnote reference"/>
    <w:aliases w:val="Знак сноски-FN,Ciae niinee-FN,Знак сноски 1,Ciae niinee 1"/>
    <w:basedOn w:val="a0"/>
    <w:unhideWhenUsed/>
    <w:rsid w:val="00C60F59"/>
    <w:rPr>
      <w:vertAlign w:val="superscript"/>
    </w:rPr>
  </w:style>
  <w:style w:type="table" w:styleId="a8">
    <w:name w:val="Table Grid"/>
    <w:basedOn w:val="a1"/>
    <w:uiPriority w:val="59"/>
    <w:rsid w:val="00C6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313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13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13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1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135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3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35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2644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F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economics.ru/research/analytics/pokazateli-dostupnosti-zhilya-v-rossii-1998-2015-gg" TargetMode="External"/><Relationship Id="rId1" Type="http://schemas.openxmlformats.org/officeDocument/2006/relationships/hyperlink" Target="http://www.urbaneconomics.ru/research/analytics/pokazateli-dostupnosti-zhilya-v-rossii-1998-2015-g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753140625345807E-2"/>
          <c:y val="4.1031462446825803E-2"/>
          <c:w val="0.92711153441973237"/>
          <c:h val="0.83769367004117645"/>
        </c:manualLayout>
      </c:layout>
      <c:barChart>
        <c:barDir val="col"/>
        <c:grouping val="clustered"/>
        <c:varyColors val="0"/>
        <c:ser>
          <c:idx val="0"/>
          <c:order val="0"/>
          <c:tx>
            <c:v>Факт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ДоляДмх!$E$8:$S$8</c:f>
              <c:strCach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1пол.'15</c:v>
                </c:pt>
                <c:pt idx="12">
                  <c:v>2017</c:v>
                </c:pt>
                <c:pt idx="13">
                  <c:v>2020</c:v>
                </c:pt>
                <c:pt idx="14">
                  <c:v>2030</c:v>
                </c:pt>
              </c:strCache>
            </c:strRef>
          </c:cat>
          <c:val>
            <c:numRef>
              <c:f>ДоляДмх!$E$9:$P$9</c:f>
              <c:numCache>
                <c:formatCode>#,##0.0</c:formatCode>
                <c:ptCount val="12"/>
                <c:pt idx="0">
                  <c:v>9</c:v>
                </c:pt>
                <c:pt idx="1">
                  <c:v>16.8</c:v>
                </c:pt>
                <c:pt idx="2">
                  <c:v>18.600000000000001</c:v>
                </c:pt>
                <c:pt idx="3">
                  <c:v>17.7</c:v>
                </c:pt>
                <c:pt idx="4">
                  <c:v>17.8</c:v>
                </c:pt>
                <c:pt idx="5">
                  <c:v>19</c:v>
                </c:pt>
                <c:pt idx="6">
                  <c:v>23.6</c:v>
                </c:pt>
                <c:pt idx="7">
                  <c:v>27.542935870249963</c:v>
                </c:pt>
                <c:pt idx="8">
                  <c:v>26.549609289091379</c:v>
                </c:pt>
                <c:pt idx="9">
                  <c:v>27.6</c:v>
                </c:pt>
                <c:pt idx="10">
                  <c:v>30</c:v>
                </c:pt>
                <c:pt idx="11">
                  <c:v>24.7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123328"/>
        <c:axId val="439051776"/>
      </c:barChart>
      <c:catAx>
        <c:axId val="41712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439051776"/>
        <c:crosses val="autoZero"/>
        <c:auto val="1"/>
        <c:lblAlgn val="ctr"/>
        <c:lblOffset val="100"/>
        <c:noMultiLvlLbl val="0"/>
      </c:catAx>
      <c:valAx>
        <c:axId val="439051776"/>
        <c:scaling>
          <c:orientation val="minMax"/>
          <c:max val="60"/>
          <c:min val="0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171233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012974878929666E-2"/>
          <c:y val="2.0111615141353619E-2"/>
          <c:w val="0.9505427220290642"/>
          <c:h val="0.899760550862110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'Слайд18,20-27'!$D$5:$U$5</c:f>
              <c:strCach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1 пол2015</c:v>
                </c:pt>
              </c:strCache>
            </c:strRef>
          </c:cat>
          <c:val>
            <c:numRef>
              <c:f>'Слайд18,20-27'!$D$7:$U$7</c:f>
              <c:numCache>
                <c:formatCode>#,##0.0</c:formatCode>
                <c:ptCount val="18"/>
                <c:pt idx="0">
                  <c:v>7.4171451197782607</c:v>
                </c:pt>
                <c:pt idx="1">
                  <c:v>5.9451594430043997</c:v>
                </c:pt>
                <c:pt idx="2">
                  <c:v>5.0200122747797122</c:v>
                </c:pt>
                <c:pt idx="3">
                  <c:v>4.8105323318092745</c:v>
                </c:pt>
                <c:pt idx="4">
                  <c:v>4.6544385893798141</c:v>
                </c:pt>
                <c:pt idx="5">
                  <c:v>4.1202265540383722</c:v>
                </c:pt>
                <c:pt idx="6">
                  <c:v>4.2652795652377389</c:v>
                </c:pt>
                <c:pt idx="7">
                  <c:v>4.1134049975961249</c:v>
                </c:pt>
                <c:pt idx="8">
                  <c:v>4.5735483135377955</c:v>
                </c:pt>
                <c:pt idx="9">
                  <c:v>5.2729044993506324</c:v>
                </c:pt>
                <c:pt idx="10">
                  <c:v>5.2861808221898592</c:v>
                </c:pt>
                <c:pt idx="11">
                  <c:v>4.6251584240099888</c:v>
                </c:pt>
                <c:pt idx="12">
                  <c:v>4.3079103461168673</c:v>
                </c:pt>
                <c:pt idx="13">
                  <c:v>4.1002762622172764</c:v>
                </c:pt>
                <c:pt idx="14">
                  <c:v>4.0853694547179904</c:v>
                </c:pt>
                <c:pt idx="15">
                  <c:v>3.8826041946309577</c:v>
                </c:pt>
                <c:pt idx="16">
                  <c:v>3.8</c:v>
                </c:pt>
                <c:pt idx="17">
                  <c:v>4.0014532733245591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274112"/>
        <c:axId val="439042816"/>
      </c:barChart>
      <c:catAx>
        <c:axId val="43927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439042816"/>
        <c:crosses val="autoZero"/>
        <c:auto val="1"/>
        <c:lblAlgn val="ctr"/>
        <c:lblOffset val="100"/>
        <c:noMultiLvlLbl val="0"/>
      </c:catAx>
      <c:valAx>
        <c:axId val="439042816"/>
        <c:scaling>
          <c:orientation val="minMax"/>
          <c:max val="7.5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39274112"/>
        <c:crosses val="autoZero"/>
        <c:crossBetween val="between"/>
        <c:majorUnit val="0.5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'ИТОГ-инвест'!$B$162:$C$162</c:f>
              <c:strCache>
                <c:ptCount val="1"/>
                <c:pt idx="0">
                  <c:v>Конечные расходы граждан на приобретение нового жилья в МКД на рынке, млрд. руб.</c:v>
                </c:pt>
              </c:strCache>
            </c:strRef>
          </c:tx>
          <c:invertIfNegative val="0"/>
          <c:cat>
            <c:numRef>
              <c:f>'ИТОГ-инвест'!$D$1:$P$1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'ИТОГ-инвест'!$D$162:$P$162</c:f>
              <c:numCache>
                <c:formatCode>0</c:formatCode>
                <c:ptCount val="13"/>
                <c:pt idx="0">
                  <c:v>135.06820139951998</c:v>
                </c:pt>
                <c:pt idx="1">
                  <c:v>183.05748516384</c:v>
                </c:pt>
                <c:pt idx="2">
                  <c:v>240.75291243359996</c:v>
                </c:pt>
                <c:pt idx="3">
                  <c:v>302.31244095711304</c:v>
                </c:pt>
                <c:pt idx="4">
                  <c:v>454.83446127000383</c:v>
                </c:pt>
                <c:pt idx="5">
                  <c:v>579.45120531662008</c:v>
                </c:pt>
                <c:pt idx="6">
                  <c:v>950.78463675636374</c:v>
                </c:pt>
                <c:pt idx="7">
                  <c:v>1533.751850789595</c:v>
                </c:pt>
                <c:pt idx="8">
                  <c:v>1944.9751840678321</c:v>
                </c:pt>
                <c:pt idx="9">
                  <c:v>1620.8888252386587</c:v>
                </c:pt>
                <c:pt idx="10">
                  <c:v>1767.8641144279998</c:v>
                </c:pt>
                <c:pt idx="11">
                  <c:v>2017.1133580153867</c:v>
                </c:pt>
                <c:pt idx="12">
                  <c:v>2351.8095765531061</c:v>
                </c:pt>
              </c:numCache>
            </c:numRef>
          </c:val>
        </c:ser>
        <c:ser>
          <c:idx val="2"/>
          <c:order val="2"/>
          <c:tx>
            <c:strRef>
              <c:f>'ИТОГ-инвест'!$B$163:$C$163</c:f>
              <c:strCache>
                <c:ptCount val="1"/>
                <c:pt idx="0">
                  <c:v>Инвестиции в строительство нового жилья в МКД, млрд. руб.</c:v>
                </c:pt>
              </c:strCache>
            </c:strRef>
          </c:tx>
          <c:invertIfNegative val="0"/>
          <c:cat>
            <c:numRef>
              <c:f>'ИТОГ-инвест'!$D$1:$P$1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'ИТОГ-инвест'!$D$163:$P$163</c:f>
              <c:numCache>
                <c:formatCode>0</c:formatCode>
                <c:ptCount val="13"/>
                <c:pt idx="0">
                  <c:v>84.553638868799993</c:v>
                </c:pt>
                <c:pt idx="1">
                  <c:v>135.03889271039998</c:v>
                </c:pt>
                <c:pt idx="2">
                  <c:v>177.39998650499999</c:v>
                </c:pt>
                <c:pt idx="3">
                  <c:v>213.6515084744</c:v>
                </c:pt>
                <c:pt idx="4">
                  <c:v>292.44190297599994</c:v>
                </c:pt>
                <c:pt idx="5">
                  <c:v>359.78300077199998</c:v>
                </c:pt>
                <c:pt idx="6">
                  <c:v>515.03490521999993</c:v>
                </c:pt>
                <c:pt idx="7">
                  <c:v>720.30802871999992</c:v>
                </c:pt>
                <c:pt idx="8">
                  <c:v>972.6453336095999</c:v>
                </c:pt>
                <c:pt idx="9">
                  <c:v>947.45396641680009</c:v>
                </c:pt>
                <c:pt idx="10">
                  <c:v>1048.0902583999998</c:v>
                </c:pt>
                <c:pt idx="11">
                  <c:v>1183.2265199999999</c:v>
                </c:pt>
                <c:pt idx="12">
                  <c:v>1286.522946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507968"/>
        <c:axId val="439517952"/>
      </c:barChart>
      <c:lineChart>
        <c:grouping val="standard"/>
        <c:varyColors val="0"/>
        <c:ser>
          <c:idx val="0"/>
          <c:order val="0"/>
          <c:tx>
            <c:strRef>
              <c:f>'ИТОГ-инвест'!$B$161:$C$161</c:f>
              <c:strCache>
                <c:ptCount val="1"/>
                <c:pt idx="0">
                  <c:v>Отношение конечных расходов на приобретение жилья в МКД к инвестициям в строительство жилья в МКД, %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'ИТОГ-инвест'!$D$1:$P$1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'ИТОГ-инвест'!$D$161:$P$161</c:f>
              <c:numCache>
                <c:formatCode>0%</c:formatCode>
                <c:ptCount val="13"/>
                <c:pt idx="0">
                  <c:v>1.597426239799121</c:v>
                </c:pt>
                <c:pt idx="1">
                  <c:v>1.3555908337934846</c:v>
                </c:pt>
                <c:pt idx="2">
                  <c:v>1.3571191135734071</c:v>
                </c:pt>
                <c:pt idx="3">
                  <c:v>1.4149792019527749</c:v>
                </c:pt>
                <c:pt idx="4">
                  <c:v>1.5552985281569964</c:v>
                </c:pt>
                <c:pt idx="5">
                  <c:v>1.6105574862438463</c:v>
                </c:pt>
                <c:pt idx="6">
                  <c:v>1.8460586401425181</c:v>
                </c:pt>
                <c:pt idx="7">
                  <c:v>2.129299951737452</c:v>
                </c:pt>
                <c:pt idx="8">
                  <c:v>1.999675644204042</c:v>
                </c:pt>
                <c:pt idx="9">
                  <c:v>1.7107837242676167</c:v>
                </c:pt>
                <c:pt idx="10">
                  <c:v>1.6867479687549016</c:v>
                </c:pt>
                <c:pt idx="11">
                  <c:v>1.7047567172644058</c:v>
                </c:pt>
                <c:pt idx="12">
                  <c:v>1.8280354686756641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521280"/>
        <c:axId val="439519488"/>
      </c:lineChart>
      <c:catAx>
        <c:axId val="43950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9517952"/>
        <c:crosses val="autoZero"/>
        <c:auto val="1"/>
        <c:lblAlgn val="ctr"/>
        <c:lblOffset val="100"/>
        <c:noMultiLvlLbl val="0"/>
      </c:catAx>
      <c:valAx>
        <c:axId val="43951795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439507968"/>
        <c:crosses val="autoZero"/>
        <c:crossBetween val="between"/>
      </c:valAx>
      <c:valAx>
        <c:axId val="43951948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439521280"/>
        <c:crosses val="max"/>
        <c:crossBetween val="between"/>
      </c:valAx>
      <c:catAx>
        <c:axId val="439521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951948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5.53197416794299E-2"/>
          <c:y val="0.71167698525873246"/>
          <c:w val="0.88936023928254426"/>
          <c:h val="0.2696459202442214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4033-3634-407E-B181-B33F1A90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puzanov</dc:creator>
  <cp:lastModifiedBy>Татьяна Полиди</cp:lastModifiedBy>
  <cp:revision>2</cp:revision>
  <dcterms:created xsi:type="dcterms:W3CDTF">2016-03-15T15:24:00Z</dcterms:created>
  <dcterms:modified xsi:type="dcterms:W3CDTF">2016-03-15T15:24:00Z</dcterms:modified>
</cp:coreProperties>
</file>